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E80DF">
      <w:pPr>
        <w:jc w:val="center"/>
        <w:rPr>
          <w:rFonts w:hint="default" w:ascii="Times New Roman" w:hAnsi="Times New Roman" w:cs="Times New Roman"/>
          <w:sz w:val="22"/>
          <w:szCs w:val="22"/>
        </w:rPr>
      </w:pPr>
      <w:r>
        <w:rPr>
          <w:rFonts w:hint="default" w:ascii="Times New Roman" w:hAnsi="Times New Roman" w:cs="Times New Roman"/>
          <w:b/>
          <w:bCs/>
          <w:sz w:val="22"/>
          <w:szCs w:val="22"/>
          <w:lang w:val="en-US" w:eastAsia="zh-CN"/>
        </w:rPr>
        <w:t xml:space="preserve"> </w:t>
      </w:r>
      <w:r>
        <w:rPr>
          <w:rFonts w:hint="default" w:ascii="Times New Roman" w:hAnsi="Times New Roman" w:cs="Times New Roman"/>
          <w:b/>
          <w:bCs/>
          <w:sz w:val="22"/>
          <w:szCs w:val="22"/>
        </w:rPr>
        <w:t>Supplementary Table S7. System uptake and response time reduction by county</w:t>
      </w:r>
    </w:p>
    <w:p w14:paraId="3D776576">
      <w:pPr>
        <w:rPr>
          <w:rFonts w:hint="default" w:ascii="Times New Roman" w:hAnsi="Times New Roman" w:cs="Times New Roman"/>
          <w:sz w:val="20"/>
          <w:szCs w:val="20"/>
        </w:rPr>
      </w:pPr>
    </w:p>
    <w:p w14:paraId="19C3B3B5">
      <w:pPr>
        <w:rPr>
          <w:rFonts w:hint="default" w:ascii="Times New Roman" w:hAnsi="Times New Roman" w:cs="Times New Roman"/>
          <w:sz w:val="20"/>
          <w:szCs w:val="20"/>
        </w:rPr>
      </w:pPr>
      <w:bookmarkStart w:id="0" w:name="_GoBack"/>
      <w:bookmarkEnd w:id="0"/>
    </w:p>
    <w:tbl>
      <w:tblPr>
        <w:tblStyle w:val="3"/>
        <w:tblW w:w="8568"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5"/>
        <w:gridCol w:w="1648"/>
        <w:gridCol w:w="1290"/>
        <w:gridCol w:w="2505"/>
        <w:gridCol w:w="1950"/>
      </w:tblGrid>
      <w:tr w14:paraId="3BAB6B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jc w:val="center"/>
        </w:trPr>
        <w:tc>
          <w:tcPr>
            <w:tcW w:w="1175" w:type="dxa"/>
            <w:tcBorders>
              <w:top w:val="single" w:color="auto" w:sz="12" w:space="0"/>
              <w:bottom w:val="single" w:color="auto" w:sz="6" w:space="0"/>
            </w:tcBorders>
            <w:vAlign w:val="center"/>
          </w:tcPr>
          <w:p w14:paraId="390E4500">
            <w:pPr>
              <w:jc w:val="center"/>
              <w:rPr>
                <w:rFonts w:hint="default" w:ascii="Times New Roman" w:hAnsi="Times New Roman" w:cs="Times New Roman"/>
                <w:b/>
                <w:bCs/>
                <w:kern w:val="0"/>
                <w:sz w:val="20"/>
                <w:szCs w:val="20"/>
              </w:rPr>
            </w:pPr>
            <w:r>
              <w:rPr>
                <w:rFonts w:hint="default" w:ascii="Times New Roman" w:hAnsi="Times New Roman" w:cs="Times New Roman"/>
                <w:sz w:val="20"/>
                <w:szCs w:val="20"/>
              </w:rPr>
              <w:t>County</w:t>
            </w:r>
          </w:p>
        </w:tc>
        <w:tc>
          <w:tcPr>
            <w:tcW w:w="1648" w:type="dxa"/>
            <w:tcBorders>
              <w:top w:val="single" w:color="auto" w:sz="12" w:space="0"/>
              <w:bottom w:val="single" w:color="auto" w:sz="6" w:space="0"/>
            </w:tcBorders>
            <w:vAlign w:val="center"/>
          </w:tcPr>
          <w:p w14:paraId="7CCB17F2">
            <w:pPr>
              <w:jc w:val="center"/>
              <w:rPr>
                <w:rFonts w:hint="default" w:ascii="Times New Roman" w:hAnsi="Times New Roman" w:cs="Times New Roman"/>
                <w:b/>
                <w:bCs/>
                <w:kern w:val="0"/>
                <w:sz w:val="20"/>
                <w:szCs w:val="20"/>
              </w:rPr>
            </w:pPr>
            <w:r>
              <w:rPr>
                <w:rFonts w:hint="default" w:ascii="Times New Roman" w:hAnsi="Times New Roman" w:cs="Times New Roman"/>
                <w:sz w:val="20"/>
                <w:szCs w:val="20"/>
              </w:rPr>
              <w:t>Urban/rural classification</w:t>
            </w:r>
          </w:p>
        </w:tc>
        <w:tc>
          <w:tcPr>
            <w:tcW w:w="1290" w:type="dxa"/>
            <w:tcBorders>
              <w:top w:val="single" w:color="auto" w:sz="12" w:space="0"/>
              <w:bottom w:val="single" w:color="auto" w:sz="6" w:space="0"/>
            </w:tcBorders>
            <w:vAlign w:val="center"/>
          </w:tcPr>
          <w:p w14:paraId="7D2080AD">
            <w:pPr>
              <w:jc w:val="center"/>
              <w:rPr>
                <w:rFonts w:hint="default" w:ascii="Times New Roman" w:hAnsi="Times New Roman" w:cs="Times New Roman"/>
                <w:b/>
                <w:bCs/>
                <w:kern w:val="0"/>
                <w:sz w:val="20"/>
                <w:szCs w:val="20"/>
              </w:rPr>
            </w:pPr>
            <w:r>
              <w:rPr>
                <w:rFonts w:hint="default" w:ascii="Times New Roman" w:hAnsi="Times New Roman" w:cs="Times New Roman"/>
                <w:sz w:val="20"/>
                <w:szCs w:val="20"/>
              </w:rPr>
              <w:t>POCT usage (% of runs)</w:t>
            </w:r>
          </w:p>
        </w:tc>
        <w:tc>
          <w:tcPr>
            <w:tcW w:w="2505" w:type="dxa"/>
            <w:tcBorders>
              <w:top w:val="single" w:color="auto" w:sz="12" w:space="0"/>
              <w:bottom w:val="single" w:color="auto" w:sz="6" w:space="0"/>
            </w:tcBorders>
            <w:vAlign w:val="center"/>
          </w:tcPr>
          <w:p w14:paraId="5531796C">
            <w:pPr>
              <w:jc w:val="center"/>
              <w:rPr>
                <w:rFonts w:hint="default" w:ascii="Times New Roman" w:hAnsi="Times New Roman" w:cs="Times New Roman"/>
                <w:b/>
                <w:bCs/>
                <w:kern w:val="0"/>
                <w:sz w:val="20"/>
                <w:szCs w:val="20"/>
              </w:rPr>
            </w:pPr>
            <w:r>
              <w:rPr>
                <w:rFonts w:hint="default" w:ascii="Times New Roman" w:hAnsi="Times New Roman" w:cs="Times New Roman"/>
                <w:sz w:val="20"/>
                <w:szCs w:val="20"/>
              </w:rPr>
              <w:t xml:space="preserve">AI alert acknowledgment rate (%) </w:t>
            </w:r>
          </w:p>
        </w:tc>
        <w:tc>
          <w:tcPr>
            <w:tcW w:w="1950" w:type="dxa"/>
            <w:tcBorders>
              <w:top w:val="single" w:color="auto" w:sz="12" w:space="0"/>
              <w:bottom w:val="single" w:color="auto" w:sz="6" w:space="0"/>
            </w:tcBorders>
            <w:vAlign w:val="center"/>
          </w:tcPr>
          <w:p w14:paraId="5A81E021">
            <w:pPr>
              <w:jc w:val="center"/>
              <w:rPr>
                <w:rFonts w:hint="default" w:ascii="Times New Roman" w:hAnsi="Times New Roman" w:cs="Times New Roman"/>
                <w:b/>
                <w:bCs/>
                <w:kern w:val="0"/>
                <w:sz w:val="20"/>
                <w:szCs w:val="20"/>
              </w:rPr>
            </w:pPr>
            <w:r>
              <w:rPr>
                <w:rFonts w:hint="default" w:ascii="Times New Roman" w:hAnsi="Times New Roman" w:cs="Times New Roman"/>
                <w:sz w:val="20"/>
                <w:szCs w:val="20"/>
              </w:rPr>
              <w:t>Median response time reduction (minutes)</w:t>
            </w:r>
          </w:p>
        </w:tc>
      </w:tr>
      <w:tr w14:paraId="501CF6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75" w:type="dxa"/>
            <w:tcBorders>
              <w:top w:val="single" w:color="auto" w:sz="6" w:space="0"/>
              <w:bottom w:val="nil"/>
            </w:tcBorders>
            <w:vAlign w:val="center"/>
          </w:tcPr>
          <w:p w14:paraId="2B8F8B4D">
            <w:pPr>
              <w:jc w:val="center"/>
              <w:rPr>
                <w:rFonts w:hint="default" w:ascii="Times New Roman" w:hAnsi="Times New Roman" w:cs="Times New Roman"/>
                <w:kern w:val="0"/>
                <w:sz w:val="20"/>
                <w:szCs w:val="20"/>
              </w:rPr>
            </w:pPr>
            <w:r>
              <w:rPr>
                <w:rFonts w:hint="default" w:ascii="Times New Roman" w:hAnsi="Times New Roman" w:cs="Times New Roman"/>
                <w:sz w:val="20"/>
                <w:szCs w:val="20"/>
              </w:rPr>
              <w:t xml:space="preserve">Hua County </w:t>
            </w:r>
          </w:p>
        </w:tc>
        <w:tc>
          <w:tcPr>
            <w:tcW w:w="1648" w:type="dxa"/>
            <w:tcBorders>
              <w:top w:val="single" w:color="auto" w:sz="6" w:space="0"/>
              <w:bottom w:val="nil"/>
            </w:tcBorders>
            <w:vAlign w:val="center"/>
          </w:tcPr>
          <w:p w14:paraId="5E747FF1">
            <w:pPr>
              <w:jc w:val="center"/>
              <w:rPr>
                <w:rFonts w:hint="default" w:ascii="Times New Roman" w:hAnsi="Times New Roman" w:cs="Times New Roman"/>
                <w:kern w:val="0"/>
                <w:sz w:val="20"/>
                <w:szCs w:val="20"/>
              </w:rPr>
            </w:pPr>
            <w:r>
              <w:rPr>
                <w:rFonts w:hint="default" w:ascii="Times New Roman" w:hAnsi="Times New Roman" w:cs="Times New Roman"/>
                <w:sz w:val="20"/>
                <w:szCs w:val="20"/>
              </w:rPr>
              <w:t>Urban core</w:t>
            </w:r>
          </w:p>
        </w:tc>
        <w:tc>
          <w:tcPr>
            <w:tcW w:w="1290" w:type="dxa"/>
            <w:tcBorders>
              <w:top w:val="single" w:color="auto" w:sz="6" w:space="0"/>
              <w:bottom w:val="nil"/>
            </w:tcBorders>
            <w:vAlign w:val="center"/>
          </w:tcPr>
          <w:p w14:paraId="0B3923B3">
            <w:pPr>
              <w:jc w:val="center"/>
              <w:rPr>
                <w:rFonts w:hint="default" w:ascii="Times New Roman" w:hAnsi="Times New Roman" w:cs="Times New Roman"/>
                <w:kern w:val="0"/>
                <w:sz w:val="20"/>
                <w:szCs w:val="20"/>
              </w:rPr>
            </w:pPr>
            <w:r>
              <w:rPr>
                <w:rFonts w:hint="default" w:ascii="Times New Roman" w:hAnsi="Times New Roman" w:cs="Times New Roman"/>
                <w:sz w:val="20"/>
                <w:szCs w:val="20"/>
              </w:rPr>
              <w:t>96%</w:t>
            </w:r>
          </w:p>
        </w:tc>
        <w:tc>
          <w:tcPr>
            <w:tcW w:w="2505" w:type="dxa"/>
            <w:tcBorders>
              <w:top w:val="single" w:color="auto" w:sz="6" w:space="0"/>
              <w:bottom w:val="nil"/>
            </w:tcBorders>
            <w:vAlign w:val="center"/>
          </w:tcPr>
          <w:p w14:paraId="52EDD441">
            <w:pPr>
              <w:jc w:val="center"/>
              <w:rPr>
                <w:rFonts w:hint="default" w:ascii="Times New Roman" w:hAnsi="Times New Roman" w:cs="Times New Roman"/>
                <w:kern w:val="0"/>
                <w:sz w:val="20"/>
                <w:szCs w:val="20"/>
              </w:rPr>
            </w:pPr>
            <w:r>
              <w:rPr>
                <w:rFonts w:hint="default" w:ascii="Times New Roman" w:hAnsi="Times New Roman" w:cs="Times New Roman"/>
                <w:sz w:val="20"/>
                <w:szCs w:val="20"/>
              </w:rPr>
              <w:t>91%</w:t>
            </w:r>
          </w:p>
        </w:tc>
        <w:tc>
          <w:tcPr>
            <w:tcW w:w="1950" w:type="dxa"/>
            <w:tcBorders>
              <w:top w:val="single" w:color="auto" w:sz="6" w:space="0"/>
              <w:bottom w:val="nil"/>
            </w:tcBorders>
            <w:vAlign w:val="center"/>
          </w:tcPr>
          <w:p w14:paraId="768D33A5">
            <w:pPr>
              <w:jc w:val="center"/>
              <w:rPr>
                <w:rFonts w:hint="default" w:ascii="Times New Roman" w:hAnsi="Times New Roman" w:cs="Times New Roman"/>
                <w:kern w:val="0"/>
                <w:sz w:val="20"/>
                <w:szCs w:val="20"/>
              </w:rPr>
            </w:pPr>
            <w:r>
              <w:rPr>
                <w:rFonts w:hint="default" w:ascii="Times New Roman" w:hAnsi="Times New Roman" w:cs="Times New Roman"/>
                <w:sz w:val="20"/>
                <w:szCs w:val="20"/>
              </w:rPr>
              <w:t>2.8</w:t>
            </w:r>
          </w:p>
        </w:tc>
      </w:tr>
      <w:tr w14:paraId="7768EB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75" w:type="dxa"/>
            <w:tcBorders>
              <w:top w:val="nil"/>
            </w:tcBorders>
            <w:vAlign w:val="center"/>
          </w:tcPr>
          <w:p w14:paraId="4BEB1CC2">
            <w:pPr>
              <w:jc w:val="center"/>
              <w:rPr>
                <w:rFonts w:hint="default" w:ascii="Times New Roman" w:hAnsi="Times New Roman" w:cs="Times New Roman"/>
                <w:kern w:val="0"/>
                <w:sz w:val="20"/>
                <w:szCs w:val="20"/>
              </w:rPr>
            </w:pPr>
            <w:r>
              <w:rPr>
                <w:rFonts w:hint="default" w:ascii="Times New Roman" w:hAnsi="Times New Roman" w:cs="Times New Roman"/>
                <w:sz w:val="20"/>
                <w:szCs w:val="20"/>
              </w:rPr>
              <w:t xml:space="preserve">Neihuang County </w:t>
            </w:r>
          </w:p>
        </w:tc>
        <w:tc>
          <w:tcPr>
            <w:tcW w:w="1648" w:type="dxa"/>
            <w:tcBorders>
              <w:top w:val="nil"/>
            </w:tcBorders>
            <w:vAlign w:val="center"/>
          </w:tcPr>
          <w:p w14:paraId="7E7262B7">
            <w:pPr>
              <w:jc w:val="center"/>
              <w:rPr>
                <w:rFonts w:hint="default" w:ascii="Times New Roman" w:hAnsi="Times New Roman" w:cs="Times New Roman"/>
                <w:kern w:val="0"/>
                <w:sz w:val="20"/>
                <w:szCs w:val="20"/>
              </w:rPr>
            </w:pPr>
            <w:r>
              <w:rPr>
                <w:rFonts w:hint="default" w:ascii="Times New Roman" w:hAnsi="Times New Roman" w:cs="Times New Roman"/>
                <w:sz w:val="20"/>
                <w:szCs w:val="20"/>
              </w:rPr>
              <w:t>Mixed</w:t>
            </w:r>
          </w:p>
        </w:tc>
        <w:tc>
          <w:tcPr>
            <w:tcW w:w="1290" w:type="dxa"/>
            <w:tcBorders>
              <w:top w:val="nil"/>
            </w:tcBorders>
            <w:vAlign w:val="center"/>
          </w:tcPr>
          <w:p w14:paraId="249E67EF">
            <w:pPr>
              <w:jc w:val="center"/>
              <w:rPr>
                <w:rFonts w:hint="default" w:ascii="Times New Roman" w:hAnsi="Times New Roman" w:cs="Times New Roman"/>
                <w:kern w:val="0"/>
                <w:sz w:val="20"/>
                <w:szCs w:val="20"/>
              </w:rPr>
            </w:pPr>
            <w:r>
              <w:rPr>
                <w:rFonts w:hint="default" w:ascii="Times New Roman" w:hAnsi="Times New Roman" w:cs="Times New Roman"/>
                <w:sz w:val="20"/>
                <w:szCs w:val="20"/>
              </w:rPr>
              <w:t xml:space="preserve">92% </w:t>
            </w:r>
          </w:p>
        </w:tc>
        <w:tc>
          <w:tcPr>
            <w:tcW w:w="2505" w:type="dxa"/>
            <w:tcBorders>
              <w:top w:val="nil"/>
            </w:tcBorders>
            <w:vAlign w:val="center"/>
          </w:tcPr>
          <w:p w14:paraId="42FD8263">
            <w:pPr>
              <w:jc w:val="center"/>
              <w:rPr>
                <w:rFonts w:hint="default" w:ascii="Times New Roman" w:hAnsi="Times New Roman" w:cs="Times New Roman"/>
                <w:kern w:val="0"/>
                <w:sz w:val="20"/>
                <w:szCs w:val="20"/>
              </w:rPr>
            </w:pPr>
            <w:r>
              <w:rPr>
                <w:rFonts w:hint="default" w:ascii="Times New Roman" w:hAnsi="Times New Roman" w:cs="Times New Roman"/>
                <w:sz w:val="20"/>
                <w:szCs w:val="20"/>
              </w:rPr>
              <w:t>87%</w:t>
            </w:r>
          </w:p>
        </w:tc>
        <w:tc>
          <w:tcPr>
            <w:tcW w:w="1950" w:type="dxa"/>
            <w:tcBorders>
              <w:top w:val="nil"/>
            </w:tcBorders>
            <w:vAlign w:val="center"/>
          </w:tcPr>
          <w:p w14:paraId="599AD789">
            <w:pPr>
              <w:jc w:val="center"/>
              <w:rPr>
                <w:rFonts w:hint="default" w:ascii="Times New Roman" w:hAnsi="Times New Roman" w:cs="Times New Roman"/>
                <w:kern w:val="0"/>
                <w:sz w:val="20"/>
                <w:szCs w:val="20"/>
              </w:rPr>
            </w:pPr>
            <w:r>
              <w:rPr>
                <w:rFonts w:hint="default" w:ascii="Times New Roman" w:hAnsi="Times New Roman" w:cs="Times New Roman"/>
                <w:sz w:val="20"/>
                <w:szCs w:val="20"/>
              </w:rPr>
              <w:t>3.5</w:t>
            </w:r>
          </w:p>
        </w:tc>
      </w:tr>
      <w:tr w14:paraId="7B95E4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75" w:type="dxa"/>
            <w:tcBorders>
              <w:top w:val="nil"/>
              <w:bottom w:val="single" w:color="auto" w:sz="12" w:space="0"/>
            </w:tcBorders>
            <w:vAlign w:val="center"/>
          </w:tcPr>
          <w:p w14:paraId="5146A288">
            <w:pPr>
              <w:jc w:val="center"/>
              <w:rPr>
                <w:rFonts w:hint="default" w:ascii="Times New Roman" w:hAnsi="Times New Roman" w:cs="Times New Roman"/>
                <w:kern w:val="0"/>
                <w:sz w:val="20"/>
                <w:szCs w:val="20"/>
              </w:rPr>
            </w:pPr>
            <w:r>
              <w:rPr>
                <w:rFonts w:hint="default" w:ascii="Times New Roman" w:hAnsi="Times New Roman" w:cs="Times New Roman"/>
                <w:sz w:val="20"/>
                <w:szCs w:val="20"/>
              </w:rPr>
              <w:t>Tangyin County</w:t>
            </w:r>
          </w:p>
        </w:tc>
        <w:tc>
          <w:tcPr>
            <w:tcW w:w="1648" w:type="dxa"/>
            <w:tcBorders>
              <w:top w:val="nil"/>
              <w:bottom w:val="single" w:color="auto" w:sz="12" w:space="0"/>
            </w:tcBorders>
            <w:vAlign w:val="center"/>
          </w:tcPr>
          <w:p w14:paraId="28BB0F86">
            <w:pPr>
              <w:jc w:val="center"/>
              <w:rPr>
                <w:rFonts w:hint="default" w:ascii="Times New Roman" w:hAnsi="Times New Roman" w:cs="Times New Roman"/>
                <w:kern w:val="0"/>
                <w:sz w:val="20"/>
                <w:szCs w:val="20"/>
              </w:rPr>
            </w:pPr>
            <w:r>
              <w:rPr>
                <w:rFonts w:hint="default" w:ascii="Times New Roman" w:hAnsi="Times New Roman" w:cs="Times New Roman"/>
                <w:sz w:val="20"/>
                <w:szCs w:val="20"/>
              </w:rPr>
              <w:t xml:space="preserve">Rural </w:t>
            </w:r>
          </w:p>
        </w:tc>
        <w:tc>
          <w:tcPr>
            <w:tcW w:w="1290" w:type="dxa"/>
            <w:tcBorders>
              <w:top w:val="nil"/>
              <w:bottom w:val="single" w:color="auto" w:sz="12" w:space="0"/>
            </w:tcBorders>
            <w:vAlign w:val="center"/>
          </w:tcPr>
          <w:p w14:paraId="7792955C">
            <w:pPr>
              <w:jc w:val="center"/>
              <w:rPr>
                <w:rFonts w:hint="default" w:ascii="Times New Roman" w:hAnsi="Times New Roman" w:cs="Times New Roman"/>
                <w:kern w:val="0"/>
                <w:sz w:val="20"/>
                <w:szCs w:val="20"/>
              </w:rPr>
            </w:pPr>
            <w:r>
              <w:rPr>
                <w:rFonts w:hint="default" w:ascii="Times New Roman" w:hAnsi="Times New Roman" w:cs="Times New Roman"/>
                <w:sz w:val="20"/>
                <w:szCs w:val="20"/>
              </w:rPr>
              <w:t>89%</w:t>
            </w:r>
          </w:p>
        </w:tc>
        <w:tc>
          <w:tcPr>
            <w:tcW w:w="2505" w:type="dxa"/>
            <w:tcBorders>
              <w:top w:val="nil"/>
              <w:bottom w:val="single" w:color="auto" w:sz="12" w:space="0"/>
            </w:tcBorders>
            <w:vAlign w:val="center"/>
          </w:tcPr>
          <w:p w14:paraId="549C72D2">
            <w:pPr>
              <w:jc w:val="center"/>
              <w:rPr>
                <w:rFonts w:hint="default" w:ascii="Times New Roman" w:hAnsi="Times New Roman" w:cs="Times New Roman"/>
                <w:kern w:val="0"/>
                <w:sz w:val="20"/>
                <w:szCs w:val="20"/>
              </w:rPr>
            </w:pPr>
            <w:r>
              <w:rPr>
                <w:rFonts w:hint="default" w:ascii="Times New Roman" w:hAnsi="Times New Roman" w:cs="Times New Roman"/>
                <w:sz w:val="20"/>
                <w:szCs w:val="20"/>
              </w:rPr>
              <w:t>84%</w:t>
            </w:r>
          </w:p>
        </w:tc>
        <w:tc>
          <w:tcPr>
            <w:tcW w:w="1950" w:type="dxa"/>
            <w:tcBorders>
              <w:top w:val="nil"/>
              <w:bottom w:val="single" w:color="auto" w:sz="12" w:space="0"/>
            </w:tcBorders>
            <w:vAlign w:val="center"/>
          </w:tcPr>
          <w:p w14:paraId="017E26C4">
            <w:pPr>
              <w:jc w:val="center"/>
              <w:rPr>
                <w:rFonts w:hint="default" w:ascii="Times New Roman" w:hAnsi="Times New Roman" w:cs="Times New Roman"/>
                <w:kern w:val="0"/>
                <w:sz w:val="20"/>
                <w:szCs w:val="20"/>
              </w:rPr>
            </w:pPr>
            <w:r>
              <w:rPr>
                <w:rFonts w:hint="default" w:ascii="Times New Roman" w:hAnsi="Times New Roman" w:cs="Times New Roman"/>
                <w:sz w:val="20"/>
                <w:szCs w:val="20"/>
              </w:rPr>
              <w:t xml:space="preserve">4.2 </w:t>
            </w:r>
          </w:p>
        </w:tc>
      </w:tr>
    </w:tbl>
    <w:p w14:paraId="11A473E7">
      <w:pPr>
        <w:rPr>
          <w:rFonts w:hint="default" w:ascii="Times New Roman" w:hAnsi="Times New Roman" w:cs="Times New Roman"/>
          <w:sz w:val="20"/>
          <w:szCs w:val="20"/>
        </w:rPr>
      </w:pPr>
    </w:p>
    <w:p w14:paraId="574BA534">
      <w:pPr>
        <w:rPr>
          <w:rFonts w:hint="default" w:ascii="Times New Roman" w:hAnsi="Times New Roman" w:cs="Times New Roman"/>
          <w:sz w:val="20"/>
          <w:szCs w:val="20"/>
        </w:rPr>
      </w:pPr>
      <w:r>
        <w:rPr>
          <w:rFonts w:hint="default" w:ascii="Times New Roman" w:hAnsi="Times New Roman" w:cs="Times New Roman"/>
          <w:i/>
          <w:iCs/>
          <w:sz w:val="20"/>
          <w:szCs w:val="20"/>
        </w:rPr>
        <w:t>Note: This table presents county-level system usage metrics and the associated improvement in median emergency response time following implementation of the AI-enabled platform. Hua County represents the urban core, Neihuang County a mixed urban-rural area, and Tangyin County the predominantly rural catchment. Although POCT usage and AI alert acknowledgment rates were slightly lower in the rural county (Tangyin), the reduction in response time was largest there (4.2 minutes vs. 2.8 minutes in urban Hua County), suggesting that the system may benefit rural areas most despite marginally lower fidelity.</w:t>
      </w:r>
    </w:p>
    <w:p w14:paraId="4363E56C">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5EE0786"/>
    <w:rsid w:val="7F330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94</Words>
  <Characters>509</Characters>
  <Lines>0</Lines>
  <Paragraphs>0</Paragraphs>
  <TotalTime>0</TotalTime>
  <ScaleCrop>false</ScaleCrop>
  <LinksUpToDate>false</LinksUpToDate>
  <CharactersWithSpaces>589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2026-06-08T13:05:00Z</dcterms:created>
  <dc:creator>管理员</dc:creator>
  <cp:lastModifiedBy>雄鹰</cp:lastModifiedBy>
  <dcterms:modified xsi:type="dcterms:W3CDTF">2026-06-08T13:19:59Z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eyJoZGlkIjoiZTU5NGI5NGVmZWRkNjQyMjI0MGNkNDQzMjQyNWUxNTkiLCJ1c2VySWQiOiIyMzI5MDQzMjAifQ==</vt:lpwstr>
  </property>
  <property fmtid="{D5CDD505-2E9C-101B-9397-08002B2CF9AE}" pid="4" name="ICV">
    <vt:lpwstr>7A85CC657CB1450F9C876B65F4B9A9F1_12</vt:lpwstr>
  </property>
</Properties>
</file>