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F367B" w14:textId="77777777" w:rsidR="00F761B4" w:rsidRDefault="00F761B4" w:rsidP="00F761B4">
      <w:pPr>
        <w:keepNext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73C016FC" wp14:editId="1562969A">
            <wp:extent cx="5266690" cy="4827905"/>
            <wp:effectExtent l="0" t="0" r="0" b="0"/>
            <wp:docPr id="21063260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482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2E9BC" w14:textId="2DDB675A" w:rsidR="00F761B4" w:rsidRPr="000A1796" w:rsidRDefault="00F761B4" w:rsidP="00F761B4">
      <w:pPr>
        <w:rPr>
          <w:rFonts w:ascii="Times New Roman" w:eastAsia="黑体" w:hAnsi="Times New Roman" w:cs="Times New Roman"/>
          <w:sz w:val="20"/>
          <w:szCs w:val="20"/>
        </w:rPr>
      </w:pPr>
      <w:r w:rsidRPr="000A1796">
        <w:rPr>
          <w:rFonts w:ascii="Times New Roman" w:eastAsia="黑体" w:hAnsi="Times New Roman" w:cs="Times New Roman"/>
          <w:sz w:val="20"/>
          <w:szCs w:val="20"/>
        </w:rPr>
        <w:t>Supplementary Figure S1</w:t>
      </w:r>
      <w:r w:rsidR="00D86E27" w:rsidRPr="000A1796">
        <w:rPr>
          <w:rFonts w:ascii="Times New Roman" w:eastAsia="黑体" w:hAnsi="Times New Roman" w:cs="Times New Roman" w:hint="eastAsia"/>
          <w:sz w:val="20"/>
          <w:szCs w:val="20"/>
        </w:rPr>
        <w:t>.</w:t>
      </w:r>
      <w:r w:rsidRPr="000A1796">
        <w:rPr>
          <w:rFonts w:ascii="Times New Roman" w:eastAsia="宋体" w:hAnsi="Times New Roman" w:cs="Times New Roman"/>
          <w:color w:val="2B2D31"/>
          <w:kern w:val="0"/>
          <w:szCs w:val="21"/>
          <w:shd w:val="clear" w:color="auto" w:fill="FFFFFF"/>
        </w:rPr>
        <w:t xml:space="preserve"> </w:t>
      </w:r>
      <w:r w:rsidRPr="000A1796">
        <w:rPr>
          <w:rFonts w:ascii="Times New Roman" w:eastAsia="黑体" w:hAnsi="Times New Roman" w:cs="Times New Roman"/>
          <w:sz w:val="20"/>
          <w:szCs w:val="20"/>
        </w:rPr>
        <w:t>Quantitative correlation between folate metabolism and cellular senescence at the single-cell level.</w:t>
      </w:r>
      <w:r w:rsidRPr="000A1796">
        <w:rPr>
          <w:rFonts w:ascii="Times New Roman" w:eastAsia="黑体" w:hAnsi="Times New Roman" w:cs="Times New Roman"/>
          <w:sz w:val="20"/>
          <w:szCs w:val="20"/>
        </w:rPr>
        <w:br/>
        <w:t xml:space="preserve">Scatter plot illustrating the Spearman’s rank correlation between the Module C2 (Folate Biosynthesis) activity score and the Senescence Score (calculated using established senescence-associated signature genes). Each dot represents an individual cell from the human NPC </w:t>
      </w:r>
      <w:proofErr w:type="spellStart"/>
      <w:r w:rsidRPr="000A1796">
        <w:rPr>
          <w:rFonts w:ascii="Times New Roman" w:eastAsia="黑体" w:hAnsi="Times New Roman" w:cs="Times New Roman"/>
          <w:sz w:val="20"/>
          <w:szCs w:val="20"/>
        </w:rPr>
        <w:t>scRNA</w:t>
      </w:r>
      <w:proofErr w:type="spellEnd"/>
      <w:r w:rsidRPr="000A1796">
        <w:rPr>
          <w:rFonts w:ascii="Times New Roman" w:eastAsia="黑体" w:hAnsi="Times New Roman" w:cs="Times New Roman"/>
          <w:sz w:val="20"/>
          <w:szCs w:val="20"/>
        </w:rPr>
        <w:t>-seq dataset. The red line indicates the linear regression fit. A significant negative correlation (</w:t>
      </w:r>
      <m:oMath>
        <m:r>
          <w:rPr>
            <w:rFonts w:ascii="Cambria Math" w:eastAsia="黑体" w:hAnsi="Cambria Math" w:cs="Times New Roman"/>
            <w:sz w:val="20"/>
            <w:szCs w:val="20"/>
          </w:rPr>
          <m:t>R=-0.33</m:t>
        </m:r>
      </m:oMath>
      <w:r w:rsidRPr="000A1796">
        <w:rPr>
          <w:rFonts w:ascii="Times New Roman" w:eastAsia="黑体" w:hAnsi="Times New Roman" w:cs="Times New Roman"/>
          <w:sz w:val="20"/>
          <w:szCs w:val="20"/>
        </w:rPr>
        <w:t> </w:t>
      </w:r>
    </w:p>
    <w:p w14:paraId="63421D2C" w14:textId="35637AF5" w:rsidR="00F761B4" w:rsidRPr="000A1796" w:rsidRDefault="000A1796" w:rsidP="00F761B4">
      <w:pPr>
        <w:rPr>
          <w:rFonts w:ascii="Times New Roman" w:eastAsia="黑体" w:hAnsi="Times New Roman" w:cs="Times New Roman"/>
          <w:sz w:val="20"/>
          <w:szCs w:val="20"/>
        </w:rPr>
      </w:pPr>
      <m:oMath>
        <m:r>
          <w:rPr>
            <w:rFonts w:ascii="Cambria Math" w:eastAsia="黑体" w:hAnsi="Cambria Math" w:cs="Times New Roman"/>
            <w:sz w:val="20"/>
            <w:szCs w:val="20"/>
          </w:rPr>
          <m:t>p&lt;2.2×</m:t>
        </m:r>
        <m:sSup>
          <m:sSupPr>
            <m:ctrlPr>
              <w:rPr>
                <w:rFonts w:ascii="Cambria Math" w:eastAsia="黑体" w:hAnsi="Cambria Math" w:cs="Times New Roman"/>
                <w:sz w:val="20"/>
                <w:szCs w:val="20"/>
              </w:rPr>
            </m:ctrlPr>
          </m:sSupPr>
          <m:e>
            <m:r>
              <w:rPr>
                <w:rFonts w:ascii="Cambria Math" w:eastAsia="黑体" w:hAnsi="Cambria Math" w:cs="Times New Roman"/>
                <w:sz w:val="20"/>
                <w:szCs w:val="20"/>
              </w:rPr>
              <m:t>10</m:t>
            </m:r>
          </m:e>
          <m:sup>
            <m:r>
              <w:rPr>
                <w:rFonts w:ascii="Cambria Math" w:eastAsia="黑体" w:hAnsi="Cambria Math" w:cs="Times New Roman"/>
                <w:sz w:val="20"/>
                <w:szCs w:val="20"/>
              </w:rPr>
              <m:t>-16</m:t>
            </m:r>
          </m:sup>
        </m:sSup>
      </m:oMath>
      <w:r w:rsidR="00F761B4" w:rsidRPr="000A1796">
        <w:rPr>
          <w:rFonts w:ascii="Times New Roman" w:eastAsia="黑体" w:hAnsi="Times New Roman" w:cs="Times New Roman"/>
          <w:sz w:val="20"/>
          <w:szCs w:val="20"/>
        </w:rPr>
        <w:t xml:space="preserve">) </w:t>
      </w:r>
      <w:proofErr w:type="gramStart"/>
      <w:r w:rsidR="00F761B4" w:rsidRPr="000A1796">
        <w:rPr>
          <w:rFonts w:ascii="Times New Roman" w:eastAsia="黑体" w:hAnsi="Times New Roman" w:cs="Times New Roman"/>
          <w:sz w:val="20"/>
          <w:szCs w:val="20"/>
        </w:rPr>
        <w:t>was</w:t>
      </w:r>
      <w:proofErr w:type="gramEnd"/>
      <w:r w:rsidR="00F761B4" w:rsidRPr="000A1796">
        <w:rPr>
          <w:rFonts w:ascii="Times New Roman" w:eastAsia="黑体" w:hAnsi="Times New Roman" w:cs="Times New Roman"/>
          <w:sz w:val="20"/>
          <w:szCs w:val="20"/>
        </w:rPr>
        <w:t xml:space="preserve"> observed, demonstrating that the transcriptional decline of folate biosynthetic capacity is quantitatively and intrinsically coupled with the biological progression of NPC senescence, extending beyond mere visual proximity on the UMAP.</w:t>
      </w:r>
    </w:p>
    <w:p w14:paraId="7D82D9FB" w14:textId="77777777" w:rsidR="000A1796" w:rsidRDefault="000A1796" w:rsidP="00F761B4">
      <w:pPr>
        <w:rPr>
          <w:rFonts w:ascii="Times New Roman" w:eastAsia="黑体" w:hAnsi="Times New Roman" w:cs="Times New Roman"/>
          <w:sz w:val="20"/>
          <w:szCs w:val="20"/>
        </w:rPr>
      </w:pPr>
    </w:p>
    <w:p w14:paraId="0DF483BF" w14:textId="77777777" w:rsidR="000A1796" w:rsidRDefault="000A1796" w:rsidP="00F761B4">
      <w:pPr>
        <w:rPr>
          <w:rFonts w:ascii="Times New Roman" w:eastAsia="黑体" w:hAnsi="Times New Roman" w:cs="Times New Roman"/>
          <w:sz w:val="20"/>
          <w:szCs w:val="20"/>
        </w:rPr>
      </w:pPr>
    </w:p>
    <w:p w14:paraId="55530F52" w14:textId="77777777" w:rsidR="000A1796" w:rsidRDefault="000A1796" w:rsidP="00F761B4">
      <w:pPr>
        <w:rPr>
          <w:rFonts w:ascii="Times New Roman" w:eastAsia="黑体" w:hAnsi="Times New Roman" w:cs="Times New Roman"/>
          <w:sz w:val="20"/>
          <w:szCs w:val="20"/>
        </w:rPr>
      </w:pPr>
    </w:p>
    <w:p w14:paraId="33F57FCB" w14:textId="77777777" w:rsidR="000A1796" w:rsidRDefault="000A1796" w:rsidP="00F761B4">
      <w:pPr>
        <w:rPr>
          <w:rFonts w:ascii="Times New Roman" w:eastAsia="黑体" w:hAnsi="Times New Roman" w:cs="Times New Roman"/>
          <w:sz w:val="20"/>
          <w:szCs w:val="20"/>
        </w:rPr>
      </w:pPr>
    </w:p>
    <w:p w14:paraId="30892095" w14:textId="77777777" w:rsidR="000A1796" w:rsidRDefault="000A1796" w:rsidP="00F761B4">
      <w:pPr>
        <w:rPr>
          <w:rFonts w:ascii="Times New Roman" w:eastAsia="黑体" w:hAnsi="Times New Roman" w:cs="Times New Roman"/>
          <w:sz w:val="20"/>
          <w:szCs w:val="20"/>
        </w:rPr>
      </w:pPr>
    </w:p>
    <w:p w14:paraId="1AF33A1A" w14:textId="77777777" w:rsidR="000A1796" w:rsidRDefault="000A1796" w:rsidP="000A1796">
      <w:pPr>
        <w:keepNext/>
        <w:rPr>
          <w:rFonts w:hint="eastAsia"/>
        </w:rPr>
      </w:pPr>
      <w:r>
        <w:rPr>
          <w:rFonts w:ascii="Times New Roman" w:eastAsia="黑体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134CD86" wp14:editId="48C90660">
            <wp:extent cx="5266690" cy="3606165"/>
            <wp:effectExtent l="0" t="0" r="0" b="0"/>
            <wp:docPr id="10420058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60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222CE" w14:textId="6FD49666" w:rsidR="000A1796" w:rsidRPr="00541D08" w:rsidRDefault="00541D08" w:rsidP="000A1796">
      <w:pPr>
        <w:pStyle w:val="af2"/>
        <w:rPr>
          <w:rFonts w:ascii="Times New Roman" w:hAnsi="Times New Roman" w:cs="Times New Roman" w:hint="eastAsia"/>
        </w:rPr>
      </w:pPr>
      <w:r w:rsidRPr="00541D08">
        <w:rPr>
          <w:rFonts w:ascii="Times New Roman" w:hAnsi="Times New Roman" w:cs="Times New Roman"/>
        </w:rPr>
        <w:t>Supplementary Figure S</w:t>
      </w:r>
      <w:r w:rsidRPr="00541D08">
        <w:rPr>
          <w:rFonts w:ascii="Times New Roman" w:hAnsi="Times New Roman" w:cs="Times New Roman" w:hint="eastAsia"/>
        </w:rPr>
        <w:t>2</w:t>
      </w:r>
      <w:r w:rsidR="000A1796" w:rsidRPr="00541D08">
        <w:rPr>
          <w:rFonts w:ascii="Times New Roman" w:hAnsi="Times New Roman" w:cs="Times New Roman"/>
        </w:rPr>
        <w:t>. Representative brightfield images showing morphological alterations in NPCs under acute oxidative stress.</w:t>
      </w:r>
      <w:r w:rsidR="000A1796" w:rsidRPr="00541D08">
        <w:rPr>
          <w:rFonts w:ascii="Times New Roman" w:hAnsi="Times New Roman" w:cs="Times New Roman"/>
        </w:rPr>
        <w:br/>
        <w:t>(A) Control group NPCs displaying a high-confluence monolayer with characteristic spindle-shaped and well-extended morphology. (B) NPCs treated with TBHP. Distinct morphological hallmarks of stress-induced damage are evident, including significant cellular shrinkage, cell rounding, and a marked reduction in cell density compared to the control group. These visual observations provide qualitative confirmation of the growth arrest and morphological transition identified in our multi-omics analysis.</w:t>
      </w:r>
    </w:p>
    <w:sectPr w:rsidR="000A1796" w:rsidRPr="00541D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EA9E5" w14:textId="77777777" w:rsidR="008D5095" w:rsidRDefault="008D5095" w:rsidP="00F761B4">
      <w:pPr>
        <w:rPr>
          <w:rFonts w:hint="eastAsia"/>
        </w:rPr>
      </w:pPr>
      <w:r>
        <w:separator/>
      </w:r>
    </w:p>
  </w:endnote>
  <w:endnote w:type="continuationSeparator" w:id="0">
    <w:p w14:paraId="3A769B3C" w14:textId="77777777" w:rsidR="008D5095" w:rsidRDefault="008D5095" w:rsidP="00F761B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AD9D1" w14:textId="77777777" w:rsidR="008D5095" w:rsidRDefault="008D5095" w:rsidP="00F761B4">
      <w:pPr>
        <w:rPr>
          <w:rFonts w:hint="eastAsia"/>
        </w:rPr>
      </w:pPr>
      <w:r>
        <w:separator/>
      </w:r>
    </w:p>
  </w:footnote>
  <w:footnote w:type="continuationSeparator" w:id="0">
    <w:p w14:paraId="314A5305" w14:textId="77777777" w:rsidR="008D5095" w:rsidRDefault="008D5095" w:rsidP="00F761B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48"/>
    <w:rsid w:val="000416ED"/>
    <w:rsid w:val="000A1796"/>
    <w:rsid w:val="00395D46"/>
    <w:rsid w:val="00541D08"/>
    <w:rsid w:val="00575675"/>
    <w:rsid w:val="008D5095"/>
    <w:rsid w:val="00956831"/>
    <w:rsid w:val="00CA6B48"/>
    <w:rsid w:val="00D86E27"/>
    <w:rsid w:val="00F15C13"/>
    <w:rsid w:val="00F309FB"/>
    <w:rsid w:val="00F7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21C2AC"/>
  <w15:chartTrackingRefBased/>
  <w15:docId w15:val="{EAD0BA34-A899-4C53-B3F6-38009637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6B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6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6B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6B4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6B4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6B4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6B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6B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6B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6B4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6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6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6B4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6B4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6B4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6B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6B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6B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6B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6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6B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6B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6B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A6B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6B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6B4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6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A6B4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6B4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761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761B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761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761B4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F761B4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188</Words>
  <Characters>1222</Characters>
  <Application>Microsoft Office Word</Application>
  <DocSecurity>0</DocSecurity>
  <Lines>26</Lines>
  <Paragraphs>13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蒙 易</dc:creator>
  <cp:keywords/>
  <dc:description/>
  <cp:lastModifiedBy>蒙 易</cp:lastModifiedBy>
  <cp:revision>7</cp:revision>
  <dcterms:created xsi:type="dcterms:W3CDTF">2026-04-23T08:55:00Z</dcterms:created>
  <dcterms:modified xsi:type="dcterms:W3CDTF">2026-04-23T09:06:00Z</dcterms:modified>
</cp:coreProperties>
</file>