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00000"/>
          <w:sz w:val="28"/>
        </w:rPr>
        <w:t>Supplementary Material</w:t>
      </w:r>
    </w:p>
    <w:p>
      <w:pPr>
        <w:jc w:val="center"/>
      </w:pPr>
      <w:r>
        <w:rPr>
          <w:i/>
          <w:color w:val="000000"/>
          <w:sz w:val="20"/>
        </w:rPr>
        <w:t>Association Between Platelet Transfusion and Acute Kidney Injury in Septic Patients With Severe Thrombocytopenia</w:t>
      </w:r>
    </w:p>
    <w:p/>
    <w:p>
      <w:r>
        <w:rPr>
          <w:color w:val="000000"/>
        </w:rPr>
      </w:r>
    </w:p>
    <w:p>
      <w:pPr>
        <w:jc w:val="center"/>
      </w:pPr>
      <w:r>
        <w:rPr>
          <w:color w:val="000000"/>
        </w:rPr>
      </w:r>
    </w:p>
    <w:p>
      <w:r>
        <w:rPr>
          <w:color w:val="000000"/>
          <w:sz w:val="18"/>
        </w:rPr>
        <w:t>Supplementary Figure S1. Restricted cubic spline analysis of the dose-response relationship between platelet dose and AKI among transfused patients (4 knots). The shaded area represents the 95% confidence band. Non-linearity was not significant (p = 0.72). The model was adjusted for age, sex, APS-III, Charlson index, baseline creatinine, lactate, mechanical ventilation, vasopressor use, and platelet count.</w:t>
      </w:r>
    </w:p>
    <w:p>
      <w:r>
        <w:rPr>
          <w:color w:val="000000"/>
        </w:rPr>
      </w:r>
    </w:p>
    <w:p>
      <w:pPr>
        <w:jc w:val="center"/>
      </w:pPr>
      <w:r>
        <w:rPr>
          <w:color w:val="000000"/>
        </w:rPr>
      </w:r>
    </w:p>
    <w:p>
      <w:r>
        <w:rPr>
          <w:color w:val="000000"/>
          <w:sz w:val="18"/>
        </w:rPr>
        <w:t>Supplementary Figure S2. Calibration curves for the four machine learning models. The diagonal line represents perfect calibration. Brier scores are shown in each panel.</w:t>
      </w:r>
    </w:p>
    <w:p>
      <w:r>
        <w:rPr>
          <w:color w:val="000000"/>
        </w:rPr>
      </w:r>
    </w:p>
    <w:p>
      <w:pPr>
        <w:jc w:val="center"/>
      </w:pPr>
      <w:r>
        <w:rPr>
          <w:color w:val="000000"/>
        </w:rPr>
      </w:r>
    </w:p>
    <w:p>
      <w:r>
        <w:rPr>
          <w:color w:val="000000"/>
          <w:sz w:val="18"/>
        </w:rPr>
        <w:t>Supplementary Figure S3. Feature importance rankings from the random forest (left) and XGBoost (right) models for AKI prediction.</w:t>
      </w:r>
    </w:p>
    <w:p>
      <w:r>
        <w:rPr>
          <w:color w:val="000000"/>
        </w:rPr>
      </w:r>
    </w:p>
    <w:p>
      <w:pPr>
        <w:jc w:val="center"/>
      </w:pPr>
      <w:r>
        <w:rPr>
          <w:color w:val="000000"/>
        </w:rPr>
      </w:r>
    </w:p>
    <w:p>
      <w:r>
        <w:rPr>
          <w:color w:val="000000"/>
          <w:sz w:val="18"/>
        </w:rPr>
        <w:t>Supplementary Figure S4. Directed acyclic graph illustrating the hypothesized causal structure. Red arrows indicate the putative transfusion-to-AKI pathway; blue arrows represent confounding paths; purple arrows denote co-intervention confounding by concurrent blood products.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  <w:p>
      <w:pPr>
        <w:pStyle w:val="Heading2"/>
      </w:pPr>
      <w:r>
        <w:rPr>
          <w:color w:val="000000"/>
        </w:rPr>
        <w:t>Supplementary Table S1. Propensity score model covariates with pre- and post-matching standardized mean differences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tcBorders>
              <w:top w:val="single" w:sz="12" w:color="000000"/>
              <w:left w:val="nil"/>
              <w:bottom w:val="single" w:sz="6" w:color="000000"/>
              <w:right w:val="nil"/>
            </w:tcBorders>
          </w:tcPr>
          <w:p>
            <w:pPr>
              <w:jc w:val="center"/>
            </w:pPr>
            <w:r>
              <w:rPr>
                <w:color w:val="000000"/>
              </w:rPr>
            </w:r>
            <w:r>
              <w:rPr>
                <w:rFonts w:ascii="Times New Roman" w:hAnsi="Times New Roman"/>
                <w:b/>
                <w:i w:val="0"/>
                <w:color w:val="000000"/>
                <w:sz w:val="18"/>
              </w:rPr>
              <w:t>Covariate</w:t>
            </w:r>
          </w:p>
        </w:tc>
        <w:tc>
          <w:tcPr>
            <w:tcW w:type="dxa" w:w="1728"/>
            <w:tcBorders>
              <w:top w:val="single" w:sz="12" w:color="000000"/>
              <w:left w:val="nil"/>
              <w:bottom w:val="single" w:sz="6" w:color="000000"/>
              <w:right w:val="nil"/>
            </w:tcBorders>
          </w:tcPr>
          <w:p>
            <w:pPr>
              <w:jc w:val="center"/>
            </w:pPr>
            <w:r>
              <w:rPr>
                <w:color w:val="000000"/>
              </w:rPr>
            </w:r>
            <w:r>
              <w:rPr>
                <w:rFonts w:ascii="Times New Roman" w:hAnsi="Times New Roman"/>
                <w:b/>
                <w:i w:val="0"/>
                <w:color w:val="000000"/>
                <w:sz w:val="18"/>
              </w:rPr>
              <w:t>SMD before matching</w:t>
            </w:r>
          </w:p>
        </w:tc>
        <w:tc>
          <w:tcPr>
            <w:tcW w:type="dxa" w:w="1728"/>
            <w:tcBorders>
              <w:top w:val="single" w:sz="12" w:color="000000"/>
              <w:left w:val="nil"/>
              <w:bottom w:val="single" w:sz="6" w:color="000000"/>
              <w:right w:val="nil"/>
            </w:tcBorders>
          </w:tcPr>
          <w:p>
            <w:pPr>
              <w:jc w:val="center"/>
            </w:pPr>
            <w:r>
              <w:rPr>
                <w:color w:val="000000"/>
              </w:rPr>
            </w:r>
            <w:r>
              <w:rPr>
                <w:rFonts w:ascii="Times New Roman" w:hAnsi="Times New Roman"/>
                <w:b/>
                <w:i w:val="0"/>
                <w:color w:val="000000"/>
                <w:sz w:val="18"/>
              </w:rPr>
              <w:t>SMD after matching</w:t>
            </w:r>
          </w:p>
        </w:tc>
        <w:tc>
          <w:tcPr>
            <w:tcW w:type="dxa" w:w="1728"/>
            <w:tcBorders>
              <w:top w:val="single" w:sz="12" w:color="000000"/>
              <w:left w:val="nil"/>
              <w:bottom w:val="single" w:sz="6" w:color="000000"/>
              <w:right w:val="nil"/>
            </w:tcBorders>
          </w:tcPr>
          <w:p>
            <w:pPr>
              <w:jc w:val="center"/>
            </w:pPr>
            <w:r>
              <w:rPr>
                <w:color w:val="000000"/>
              </w:rPr>
            </w:r>
            <w:r>
              <w:rPr>
                <w:rFonts w:ascii="Times New Roman" w:hAnsi="Times New Roman"/>
                <w:b/>
                <w:i w:val="0"/>
                <w:color w:val="000000"/>
                <w:sz w:val="18"/>
              </w:rPr>
              <w:t>Variance ratio before</w:t>
            </w:r>
          </w:p>
        </w:tc>
        <w:tc>
          <w:tcPr>
            <w:tcW w:type="dxa" w:w="1728"/>
            <w:tcBorders>
              <w:top w:val="single" w:sz="12" w:color="000000"/>
              <w:left w:val="nil"/>
              <w:bottom w:val="single" w:sz="6" w:color="000000"/>
              <w:right w:val="nil"/>
            </w:tcBorders>
          </w:tcPr>
          <w:p>
            <w:pPr>
              <w:jc w:val="center"/>
            </w:pPr>
            <w:r>
              <w:rPr>
                <w:color w:val="000000"/>
              </w:rPr>
            </w:r>
            <w:r>
              <w:rPr>
                <w:rFonts w:ascii="Times New Roman" w:hAnsi="Times New Roman"/>
                <w:b/>
                <w:i w:val="0"/>
                <w:color w:val="000000"/>
                <w:sz w:val="18"/>
              </w:rPr>
              <w:t>Variance ratio after</w:t>
            </w:r>
          </w:p>
        </w:tc>
      </w:tr>
      <w:tr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Age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−0.075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−0.018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1.145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1.225</w:t>
            </w:r>
          </w:p>
        </w:tc>
      </w:tr>
      <w:tr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Female sex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−0.059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/>
                <w:i w:val="0"/>
                <w:color w:val="000000"/>
                <w:sz w:val="18"/>
              </w:rPr>
              <w:t>0.005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—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—</w:t>
            </w:r>
          </w:p>
        </w:tc>
      </w:tr>
      <w:tr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APS-III score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0.406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0.077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1.584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1.325</w:t>
            </w:r>
          </w:p>
        </w:tc>
      </w:tr>
      <w:tr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SOFA score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0.329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0.069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1.335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1.021</w:t>
            </w:r>
          </w:p>
        </w:tc>
      </w:tr>
      <w:tr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Charlson Comorbidity Index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−0.086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/>
                <w:i w:val="0"/>
                <w:color w:val="000000"/>
                <w:sz w:val="18"/>
              </w:rPr>
              <w:t>0.008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0.961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1.060</w:t>
            </w:r>
          </w:p>
        </w:tc>
      </w:tr>
      <w:tr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Baseline creatinine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0.177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0.083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1.084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0.969</w:t>
            </w:r>
          </w:p>
        </w:tc>
      </w:tr>
      <w:tr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Lactate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0.295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0.071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1.873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1.083</w:t>
            </w:r>
          </w:p>
        </w:tc>
      </w:tr>
      <w:tr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Hemoglobin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−0.358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/>
                <w:i w:val="0"/>
                <w:color w:val="000000"/>
                <w:sz w:val="18"/>
              </w:rPr>
              <w:t>0.017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0.933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0.962</w:t>
            </w:r>
          </w:p>
        </w:tc>
      </w:tr>
      <w:tr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WBC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−0.010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/>
                <w:i w:val="0"/>
                <w:color w:val="000000"/>
                <w:sz w:val="18"/>
              </w:rPr>
              <w:t>0.040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0.544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0.663</w:t>
            </w:r>
          </w:p>
        </w:tc>
      </w:tr>
      <w:tr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INR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0.070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0.050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0.899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1.680</w:t>
            </w:r>
          </w:p>
        </w:tc>
      </w:tr>
      <w:tr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Albumin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−0.178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/>
                <w:i w:val="0"/>
                <w:color w:val="000000"/>
                <w:sz w:val="18"/>
              </w:rPr>
              <w:t>0.003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1.056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1.075</w:t>
            </w:r>
          </w:p>
        </w:tc>
      </w:tr>
      <w:tr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Bilirubin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0.089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0.055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1.160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1.265</w:t>
            </w:r>
          </w:p>
        </w:tc>
      </w:tr>
      <w:tr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Platelet count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−0.593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−0.067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1.610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1.327</w:t>
            </w:r>
          </w:p>
        </w:tc>
      </w:tr>
      <w:tr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Mechanical ventilation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0.146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/>
                <w:i w:val="0"/>
                <w:color w:val="000000"/>
                <w:sz w:val="18"/>
              </w:rPr>
              <w:t>0.019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—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—</w:t>
            </w:r>
          </w:p>
        </w:tc>
      </w:tr>
      <w:tr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Vasopressor use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0.252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0.052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—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—</w:t>
            </w:r>
          </w:p>
        </w:tc>
      </w:tr>
      <w:tr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Liver disease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−0.046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0.056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—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—</w:t>
            </w:r>
          </w:p>
        </w:tc>
      </w:tr>
      <w:tr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Malignancy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0.169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/>
                <w:i w:val="0"/>
                <w:color w:val="000000"/>
                <w:sz w:val="18"/>
              </w:rPr>
              <w:t>0.033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—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—</w:t>
            </w:r>
          </w:p>
        </w:tc>
      </w:tr>
      <w:tr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RBC transfusion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0.682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/>
                <w:i w:val="0"/>
                <w:color w:val="000000"/>
                <w:sz w:val="18"/>
              </w:rPr>
              <w:t>0.025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—</w:t>
            </w:r>
          </w:p>
        </w:tc>
        <w:tc>
          <w:tcPr>
            <w:tcW w:type="dxa" w:w="172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—</w:t>
            </w:r>
          </w:p>
        </w:tc>
      </w:tr>
      <w:tr>
        <w:tc>
          <w:tcPr>
            <w:tcW w:type="dxa" w:w="1728"/>
            <w:tcBorders>
              <w:top w:val="nil"/>
              <w:left w:val="nil"/>
              <w:bottom w:val="single" w:sz="12" w:color="000000"/>
              <w:right w:val="nil"/>
            </w:tcBorders>
          </w:tcPr>
          <w:p>
            <w:pPr>
              <w:jc w:val="left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FFP transfusion</w:t>
            </w:r>
          </w:p>
        </w:tc>
        <w:tc>
          <w:tcPr>
            <w:tcW w:type="dxa" w:w="1728"/>
            <w:tcBorders>
              <w:top w:val="nil"/>
              <w:left w:val="nil"/>
              <w:bottom w:val="single" w:sz="12" w:color="000000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0.165</w:t>
            </w:r>
          </w:p>
        </w:tc>
        <w:tc>
          <w:tcPr>
            <w:tcW w:type="dxa" w:w="1728"/>
            <w:tcBorders>
              <w:top w:val="nil"/>
              <w:left w:val="nil"/>
              <w:bottom w:val="single" w:sz="12" w:color="000000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/>
                <w:i w:val="0"/>
                <w:color w:val="000000"/>
                <w:sz w:val="18"/>
              </w:rPr>
              <w:t>0.012</w:t>
            </w:r>
          </w:p>
        </w:tc>
        <w:tc>
          <w:tcPr>
            <w:tcW w:type="dxa" w:w="1728"/>
            <w:tcBorders>
              <w:top w:val="nil"/>
              <w:left w:val="nil"/>
              <w:bottom w:val="single" w:sz="12" w:color="000000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—</w:t>
            </w:r>
          </w:p>
        </w:tc>
        <w:tc>
          <w:tcPr>
            <w:tcW w:type="dxa" w:w="1728"/>
            <w:tcBorders>
              <w:top w:val="nil"/>
              <w:left w:val="nil"/>
              <w:bottom w:val="single" w:sz="12" w:color="000000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—</w:t>
            </w:r>
          </w:p>
        </w:tc>
      </w:tr>
    </w:tbl>
    <w:p>
      <w:r>
        <w:rPr>
          <w:rFonts w:ascii="Times New Roman" w:hAnsi="Times New Roman"/>
          <w:i/>
          <w:color w:val="000000"/>
          <w:sz w:val="16"/>
        </w:rPr>
        <w:t>SMD &lt; 0.1 indicates adequate balance. All post-matching SMDs achieved this threshold. Variance ratio near 1.0 indicates similar distributional spread. A dash ('—') indicates not applicable for binary variables. Matching was performed using 1:1 nearest-neighbor without replacement, with a caliper of 0.2 standard deviations of the logit of the propensity score. 470 pairs (940 patients) were matched. 170 treated patients (26.6%) remained unmatched. Abbreviations: SMD, standardized mean difference; APS-III, Acute Physiology Score III; SOFA, Sequential Organ Failure Assessment; WBC, white blood cell; INR, international normalized ratio; RBC, red blood cell; FFP, fresh frozen plasma.</w:t>
      </w:r>
    </w:p>
    <w:p>
      <w:pPr>
        <w:pStyle w:val="Heading2"/>
      </w:pPr>
      <w:r>
        <w:rPr>
          <w:color w:val="000000"/>
        </w:rPr>
        <w:t>Supplementary Table S2. Characteristics of matched versus unmatched transfused patients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tcBorders>
              <w:top w:val="single" w:sz="12" w:color="000000"/>
              <w:left w:val="nil"/>
              <w:bottom w:val="single" w:sz="6" w:color="000000"/>
              <w:right w:val="nil"/>
            </w:tcBorders>
          </w:tcPr>
          <w:p>
            <w:pPr>
              <w:jc w:val="center"/>
            </w:pPr>
            <w:r>
              <w:rPr>
                <w:color w:val="000000"/>
              </w:rPr>
            </w:r>
            <w:r>
              <w:rPr>
                <w:rFonts w:ascii="Times New Roman" w:hAnsi="Times New Roman"/>
                <w:b/>
                <w:i w:val="0"/>
                <w:color w:val="000000"/>
                <w:sz w:val="18"/>
              </w:rPr>
              <w:t>Characteristic</w:t>
            </w:r>
          </w:p>
        </w:tc>
        <w:tc>
          <w:tcPr>
            <w:tcW w:type="dxa" w:w="2160"/>
            <w:tcBorders>
              <w:top w:val="single" w:sz="12" w:color="000000"/>
              <w:left w:val="nil"/>
              <w:bottom w:val="single" w:sz="6" w:color="000000"/>
              <w:right w:val="nil"/>
            </w:tcBorders>
          </w:tcPr>
          <w:p>
            <w:pPr>
              <w:jc w:val="center"/>
            </w:pPr>
            <w:r>
              <w:rPr>
                <w:color w:val="000000"/>
              </w:rPr>
            </w:r>
            <w:r>
              <w:rPr>
                <w:rFonts w:ascii="Times New Roman" w:hAnsi="Times New Roman"/>
                <w:b/>
                <w:i w:val="0"/>
                <w:color w:val="000000"/>
                <w:sz w:val="18"/>
              </w:rPr>
              <w:t>Matched treated (n = 470)</w:t>
            </w:r>
          </w:p>
        </w:tc>
        <w:tc>
          <w:tcPr>
            <w:tcW w:type="dxa" w:w="2160"/>
            <w:tcBorders>
              <w:top w:val="single" w:sz="12" w:color="000000"/>
              <w:left w:val="nil"/>
              <w:bottom w:val="single" w:sz="6" w:color="000000"/>
              <w:right w:val="nil"/>
            </w:tcBorders>
          </w:tcPr>
          <w:p>
            <w:pPr>
              <w:jc w:val="center"/>
            </w:pPr>
            <w:r>
              <w:rPr>
                <w:color w:val="000000"/>
              </w:rPr>
            </w:r>
            <w:r>
              <w:rPr>
                <w:rFonts w:ascii="Times New Roman" w:hAnsi="Times New Roman"/>
                <w:b/>
                <w:i w:val="0"/>
                <w:color w:val="000000"/>
                <w:sz w:val="18"/>
              </w:rPr>
              <w:t>Unmatched treated (n = 170)</w:t>
            </w:r>
          </w:p>
        </w:tc>
        <w:tc>
          <w:tcPr>
            <w:tcW w:type="dxa" w:w="2160"/>
            <w:tcBorders>
              <w:top w:val="single" w:sz="12" w:color="000000"/>
              <w:left w:val="nil"/>
              <w:bottom w:val="single" w:sz="6" w:color="000000"/>
              <w:right w:val="nil"/>
            </w:tcBorders>
          </w:tcPr>
          <w:p>
            <w:pPr>
              <w:jc w:val="center"/>
            </w:pPr>
            <w:r>
              <w:rPr>
                <w:color w:val="000000"/>
              </w:rPr>
            </w:r>
            <w:r>
              <w:rPr>
                <w:rFonts w:ascii="Times New Roman" w:hAnsi="Times New Roman"/>
                <w:b/>
                <w:i w:val="0"/>
                <w:color w:val="000000"/>
                <w:sz w:val="18"/>
              </w:rPr>
              <w:t>P-value</w:t>
            </w:r>
          </w:p>
        </w:tc>
      </w:tr>
      <w:tr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Age (years)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58.3 (15.7)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59.2 (14.6)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0.511</w:t>
            </w:r>
          </w:p>
        </w:tc>
      </w:tr>
      <w:tr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APS-III score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52.8 (13.6)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97.4 (20.1)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/>
                <w:i w:val="0"/>
                <w:color w:val="000000"/>
                <w:sz w:val="18"/>
              </w:rPr>
              <w:t>&lt;0.001</w:t>
            </w:r>
          </w:p>
        </w:tc>
      </w:tr>
      <w:tr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SOFA score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5.5 (2.3)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7.2 (3.4)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/>
                <w:i w:val="0"/>
                <w:color w:val="000000"/>
                <w:sz w:val="18"/>
              </w:rPr>
              <w:t>&lt;0.001</w:t>
            </w:r>
          </w:p>
        </w:tc>
      </w:tr>
      <w:tr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Baseline creatinine (mg/dL)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1.4 (1.0)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2.6 (1.7)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/>
                <w:i w:val="0"/>
                <w:color w:val="000000"/>
                <w:sz w:val="18"/>
              </w:rPr>
              <w:t>&lt;0.001</w:t>
            </w:r>
          </w:p>
        </w:tc>
      </w:tr>
      <w:tr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Lactate (mmol/L)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3.5 (2.9)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5.7 (4.1)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/>
                <w:i w:val="0"/>
                <w:color w:val="000000"/>
                <w:sz w:val="18"/>
              </w:rPr>
              <w:t>&lt;0.001</w:t>
            </w:r>
          </w:p>
        </w:tc>
      </w:tr>
      <w:tr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Platelet count (×10⁹/L)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27.8 (13.7)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26.8 (13.1)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0.358</w:t>
            </w:r>
          </w:p>
        </w:tc>
      </w:tr>
      <w:tr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Platelet dose (mL/kg)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6.7 (5.4)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7.0 (5.3)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0.500</w:t>
            </w:r>
          </w:p>
        </w:tc>
      </w:tr>
      <w:tr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Mechanical ventilation, n (%)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195 (45%)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114 (54%)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0.050</w:t>
            </w:r>
          </w:p>
        </w:tc>
      </w:tr>
      <w:tr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Vasopressor use, n (%)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129 (30%)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141 (67%)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/>
                <w:i w:val="0"/>
                <w:color w:val="000000"/>
                <w:sz w:val="18"/>
              </w:rPr>
              <w:t>&lt;0.001</w:t>
            </w:r>
          </w:p>
        </w:tc>
      </w:tr>
      <w:tr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AKI (Stage ≥ 2), n (%)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231 (54%)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192 (91%)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—</w:t>
            </w:r>
          </w:p>
        </w:tc>
      </w:tr>
      <w:tr>
        <w:tc>
          <w:tcPr>
            <w:tcW w:type="dxa" w:w="2160"/>
            <w:tcBorders>
              <w:top w:val="nil"/>
              <w:left w:val="nil"/>
              <w:bottom w:val="single" w:sz="12" w:color="000000"/>
              <w:right w:val="nil"/>
            </w:tcBorders>
          </w:tcPr>
          <w:p>
            <w:pPr>
              <w:jc w:val="left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30-day mortality, n (%)</w:t>
            </w:r>
          </w:p>
        </w:tc>
        <w:tc>
          <w:tcPr>
            <w:tcW w:type="dxa" w:w="2160"/>
            <w:tcBorders>
              <w:top w:val="nil"/>
              <w:left w:val="nil"/>
              <w:bottom w:val="single" w:sz="12" w:color="000000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92 (21%)</w:t>
            </w:r>
          </w:p>
        </w:tc>
        <w:tc>
          <w:tcPr>
            <w:tcW w:type="dxa" w:w="2160"/>
            <w:tcBorders>
              <w:top w:val="nil"/>
              <w:left w:val="nil"/>
              <w:bottom w:val="single" w:sz="12" w:color="000000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95 (45%)</w:t>
            </w:r>
          </w:p>
        </w:tc>
        <w:tc>
          <w:tcPr>
            <w:tcW w:type="dxa" w:w="2160"/>
            <w:tcBorders>
              <w:top w:val="nil"/>
              <w:left w:val="nil"/>
              <w:bottom w:val="single" w:sz="12" w:color="000000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—</w:t>
            </w:r>
          </w:p>
        </w:tc>
      </w:tr>
    </w:tbl>
    <w:p>
      <w:r>
        <w:rPr>
          <w:rFonts w:ascii="Times New Roman" w:hAnsi="Times New Roman"/>
          <w:i/>
          <w:color w:val="000000"/>
          <w:sz w:val="16"/>
        </w:rPr>
        <w:t>Unmatched treated patients had higher disease severity scores and higher rates of AKI and 30-day mortality, indicating that the matched cohort represents a subset of patients with clinical equipoise. This has implications for the external validity of the PSM estimates. Abbreviations: APS-III, Acute Physiology Score III; SOFA, Sequential Organ Failure Assessment; AKI, acute kidney injury; PSM, propensity score matching.</w:t>
      </w:r>
    </w:p>
    <w:p>
      <w:pPr>
        <w:pStyle w:val="Heading2"/>
      </w:pPr>
      <w:r>
        <w:rPr>
          <w:color w:val="000000"/>
        </w:rPr>
        <w:t>Supplementary Table S3. Summary of sensitivity analyses for the association between platelet transfusion and AKI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tcBorders>
              <w:top w:val="single" w:sz="12" w:color="000000"/>
              <w:left w:val="nil"/>
              <w:bottom w:val="single" w:sz="6" w:color="000000"/>
              <w:right w:val="nil"/>
            </w:tcBorders>
          </w:tcPr>
          <w:p>
            <w:pPr>
              <w:jc w:val="center"/>
            </w:pPr>
            <w:r>
              <w:rPr>
                <w:color w:val="000000"/>
              </w:rPr>
            </w:r>
            <w:r>
              <w:rPr>
                <w:rFonts w:ascii="Times New Roman" w:hAnsi="Times New Roman"/>
                <w:b/>
                <w:i w:val="0"/>
                <w:color w:val="000000"/>
                <w:sz w:val="18"/>
              </w:rPr>
              <w:t>Analysis</w:t>
            </w:r>
          </w:p>
        </w:tc>
        <w:tc>
          <w:tcPr>
            <w:tcW w:type="dxa" w:w="2160"/>
            <w:tcBorders>
              <w:top w:val="single" w:sz="12" w:color="000000"/>
              <w:left w:val="nil"/>
              <w:bottom w:val="single" w:sz="6" w:color="000000"/>
              <w:right w:val="nil"/>
            </w:tcBorders>
          </w:tcPr>
          <w:p>
            <w:pPr>
              <w:jc w:val="center"/>
            </w:pPr>
            <w:r>
              <w:rPr>
                <w:color w:val="000000"/>
              </w:rPr>
            </w:r>
            <w:r>
              <w:rPr>
                <w:rFonts w:ascii="Times New Roman" w:hAnsi="Times New Roman"/>
                <w:b/>
                <w:i w:val="0"/>
                <w:color w:val="000000"/>
                <w:sz w:val="18"/>
              </w:rPr>
              <w:t>Adjusted OR</w:t>
            </w:r>
          </w:p>
        </w:tc>
        <w:tc>
          <w:tcPr>
            <w:tcW w:type="dxa" w:w="2160"/>
            <w:tcBorders>
              <w:top w:val="single" w:sz="12" w:color="000000"/>
              <w:left w:val="nil"/>
              <w:bottom w:val="single" w:sz="6" w:color="000000"/>
              <w:right w:val="nil"/>
            </w:tcBorders>
          </w:tcPr>
          <w:p>
            <w:pPr>
              <w:jc w:val="center"/>
            </w:pPr>
            <w:r>
              <w:rPr>
                <w:color w:val="000000"/>
              </w:rPr>
            </w:r>
            <w:r>
              <w:rPr>
                <w:rFonts w:ascii="Times New Roman" w:hAnsi="Times New Roman"/>
                <w:b/>
                <w:i w:val="0"/>
                <w:color w:val="000000"/>
                <w:sz w:val="18"/>
              </w:rPr>
              <w:t>95% CI</w:t>
            </w:r>
          </w:p>
        </w:tc>
        <w:tc>
          <w:tcPr>
            <w:tcW w:type="dxa" w:w="2160"/>
            <w:tcBorders>
              <w:top w:val="single" w:sz="12" w:color="000000"/>
              <w:left w:val="nil"/>
              <w:bottom w:val="single" w:sz="6" w:color="000000"/>
              <w:right w:val="nil"/>
            </w:tcBorders>
          </w:tcPr>
          <w:p>
            <w:pPr>
              <w:jc w:val="center"/>
            </w:pPr>
            <w:r>
              <w:rPr>
                <w:color w:val="000000"/>
              </w:rPr>
            </w:r>
            <w:r>
              <w:rPr>
                <w:rFonts w:ascii="Times New Roman" w:hAnsi="Times New Roman"/>
                <w:b/>
                <w:i w:val="0"/>
                <w:color w:val="000000"/>
                <w:sz w:val="18"/>
              </w:rPr>
              <w:t>P-value</w:t>
            </w:r>
          </w:p>
        </w:tc>
      </w:tr>
      <w:tr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</w:pPr>
            <w:r>
              <w:rPr>
                <w:b/>
                <w:color w:val="000000"/>
              </w:rPr>
            </w:r>
            <w:r>
              <w:rPr>
                <w:rFonts w:ascii="Times New Roman" w:hAnsi="Times New Roman"/>
                <w:b/>
                <w:i w:val="0"/>
                <w:color w:val="000000"/>
                <w:sz w:val="18"/>
              </w:rPr>
              <w:t>Primary analysis (full cohort, multiple imputation)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/>
                <w:color w:val="000000"/>
              </w:rPr>
            </w:r>
            <w:r>
              <w:rPr>
                <w:rFonts w:ascii="Times New Roman" w:hAnsi="Times New Roman"/>
                <w:b/>
                <w:i w:val="0"/>
                <w:color w:val="000000"/>
                <w:sz w:val="18"/>
              </w:rPr>
              <w:t>1.34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/>
                <w:color w:val="000000"/>
              </w:rPr>
            </w:r>
            <w:r>
              <w:rPr>
                <w:rFonts w:ascii="Times New Roman" w:hAnsi="Times New Roman"/>
                <w:b/>
                <w:i w:val="0"/>
                <w:color w:val="000000"/>
                <w:sz w:val="18"/>
              </w:rPr>
              <w:t>1.03–1.75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/>
                <w:color w:val="000000"/>
              </w:rPr>
            </w:r>
            <w:r>
              <w:rPr>
                <w:rFonts w:ascii="Times New Roman" w:hAnsi="Times New Roman"/>
                <w:b/>
                <w:i w:val="0"/>
                <w:color w:val="000000"/>
                <w:sz w:val="18"/>
              </w:rPr>
              <w:t>0.031</w:t>
            </w:r>
          </w:p>
        </w:tc>
      </w:tr>
      <w:tr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</w:pPr>
            <w:r>
              <w:rPr>
                <w:b/>
                <w:color w:val="000000"/>
              </w:rPr>
            </w:r>
            <w:r>
              <w:rPr>
                <w:rFonts w:ascii="Times New Roman" w:hAnsi="Times New Roman"/>
                <w:b/>
                <w:i w:val="0"/>
                <w:color w:val="000000"/>
                <w:sz w:val="18"/>
              </w:rPr>
              <w:t>PSM doubly robust (original, n = 940)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/>
                <w:color w:val="000000"/>
              </w:rPr>
            </w:r>
            <w:r>
              <w:rPr>
                <w:rFonts w:ascii="Times New Roman" w:hAnsi="Times New Roman"/>
                <w:b/>
                <w:i w:val="0"/>
                <w:color w:val="000000"/>
                <w:sz w:val="18"/>
              </w:rPr>
              <w:t>1.55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/>
                <w:color w:val="000000"/>
              </w:rPr>
            </w:r>
            <w:r>
              <w:rPr>
                <w:rFonts w:ascii="Times New Roman" w:hAnsi="Times New Roman"/>
                <w:b/>
                <w:i w:val="0"/>
                <w:color w:val="000000"/>
                <w:sz w:val="18"/>
              </w:rPr>
              <w:t>1.15–2.09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/>
                <w:color w:val="000000"/>
              </w:rPr>
            </w:r>
            <w:r>
              <w:rPr>
                <w:rFonts w:ascii="Times New Roman" w:hAnsi="Times New Roman"/>
                <w:b/>
                <w:i w:val="0"/>
                <w:color w:val="000000"/>
                <w:sz w:val="18"/>
              </w:rPr>
              <w:t>0.004</w:t>
            </w:r>
          </w:p>
        </w:tc>
      </w:tr>
      <w:tr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</w:pPr>
            <w:r>
              <w:rPr>
                <w:b/>
                <w:color w:val="000000"/>
              </w:rPr>
            </w:r>
            <w:r>
              <w:rPr>
                <w:rFonts w:ascii="Times New Roman" w:hAnsi="Times New Roman"/>
                <w:b/>
                <w:i w:val="0"/>
                <w:color w:val="000000"/>
                <w:sz w:val="18"/>
              </w:rPr>
              <w:t>MICE with m = 36 imputations (Rubin's rules)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/>
                <w:color w:val="000000"/>
              </w:rPr>
            </w:r>
            <w:r>
              <w:rPr>
                <w:rFonts w:ascii="Times New Roman" w:hAnsi="Times New Roman"/>
                <w:b/>
                <w:i w:val="0"/>
                <w:color w:val="000000"/>
                <w:sz w:val="18"/>
              </w:rPr>
              <w:t>1.37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/>
                <w:color w:val="000000"/>
              </w:rPr>
            </w:r>
            <w:r>
              <w:rPr>
                <w:rFonts w:ascii="Times New Roman" w:hAnsi="Times New Roman"/>
                <w:b/>
                <w:i w:val="0"/>
                <w:color w:val="000000"/>
                <w:sz w:val="18"/>
              </w:rPr>
              <w:t>1.05–1.80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/>
                <w:color w:val="000000"/>
              </w:rPr>
            </w:r>
            <w:r>
              <w:rPr>
                <w:rFonts w:ascii="Times New Roman" w:hAnsi="Times New Roman"/>
                <w:b/>
                <w:i w:val="0"/>
                <w:color w:val="000000"/>
                <w:sz w:val="18"/>
              </w:rPr>
              <w:t>0.020</w:t>
            </w:r>
          </w:p>
        </w:tc>
      </w:tr>
      <w:tr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</w:pPr>
            <w:r>
              <w:rPr>
                <w:b/>
                <w:color w:val="000000"/>
              </w:rPr>
            </w:r>
            <w:r>
              <w:rPr>
                <w:rFonts w:ascii="Times New Roman" w:hAnsi="Times New Roman"/>
                <w:b/>
                <w:i w:val="0"/>
                <w:color w:val="000000"/>
                <w:sz w:val="18"/>
              </w:rPr>
              <w:t>Landmark analysis (AKI before PLT excluded, n = 1,399)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/>
                <w:color w:val="000000"/>
              </w:rPr>
            </w:r>
            <w:r>
              <w:rPr>
                <w:rFonts w:ascii="Times New Roman" w:hAnsi="Times New Roman"/>
                <w:b/>
                <w:i w:val="0"/>
                <w:color w:val="000000"/>
                <w:sz w:val="18"/>
              </w:rPr>
              <w:t>1.32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/>
                <w:color w:val="000000"/>
              </w:rPr>
            </w:r>
            <w:r>
              <w:rPr>
                <w:rFonts w:ascii="Times New Roman" w:hAnsi="Times New Roman"/>
                <w:b/>
                <w:i w:val="0"/>
                <w:color w:val="000000"/>
                <w:sz w:val="18"/>
              </w:rPr>
              <w:t>1.01–1.72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/>
                <w:color w:val="000000"/>
              </w:rPr>
            </w:r>
            <w:r>
              <w:rPr>
                <w:rFonts w:ascii="Times New Roman" w:hAnsi="Times New Roman"/>
                <w:b/>
                <w:i w:val="0"/>
                <w:color w:val="000000"/>
                <w:sz w:val="18"/>
              </w:rPr>
              <w:t>0.044</w:t>
            </w:r>
          </w:p>
        </w:tc>
      </w:tr>
      <w:tr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Conservative baseline creatinine (pre-T₀ only, n = 1,198)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1.29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0.97–1.73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0.083</w:t>
            </w:r>
          </w:p>
        </w:tc>
      </w:tr>
      <w:tr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Preserved baseline renal function subgroup (creatinine &lt; 1.5 mg/dL, n = 839)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1.13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0.82–1.57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0.458</w:t>
            </w:r>
          </w:p>
        </w:tc>
      </w:tr>
      <w:tr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Complete-case analysis (n = 746)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1.12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0.76–1.64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0.559</w:t>
            </w:r>
          </w:p>
        </w:tc>
      </w:tr>
      <w:tr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RBC/FFP adjusted (full cohort)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1.24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0.94–1.63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0.132</w:t>
            </w:r>
          </w:p>
        </w:tc>
      </w:tr>
      <w:tr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PSM with RBC/FFP covariates (n = 940)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1.16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0.85–1.57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0.347</w:t>
            </w:r>
          </w:p>
        </w:tc>
      </w:tr>
      <w:tr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Any-stage AKI (Stage ≥ 1)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1.23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0.91–1.66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0.180</w:t>
            </w:r>
          </w:p>
        </w:tc>
      </w:tr>
      <w:tr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</w:pPr>
            <w:r>
              <w:rPr>
                <w:b/>
                <w:color w:val="000000"/>
              </w:rPr>
            </w:r>
            <w:r>
              <w:rPr>
                <w:rFonts w:ascii="Times New Roman" w:hAnsi="Times New Roman"/>
                <w:b/>
                <w:i w:val="0"/>
                <w:color w:val="000000"/>
                <w:sz w:val="18"/>
              </w:rPr>
              <w:t>Era-stratified: early period (n = 708)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/>
                <w:color w:val="000000"/>
              </w:rPr>
            </w:r>
            <w:r>
              <w:rPr>
                <w:rFonts w:ascii="Times New Roman" w:hAnsi="Times New Roman"/>
                <w:b/>
                <w:i w:val="0"/>
                <w:color w:val="000000"/>
                <w:sz w:val="18"/>
              </w:rPr>
              <w:t>1.48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/>
                <w:color w:val="000000"/>
              </w:rPr>
            </w:r>
            <w:r>
              <w:rPr>
                <w:rFonts w:ascii="Times New Roman" w:hAnsi="Times New Roman"/>
                <w:b/>
                <w:i w:val="0"/>
                <w:color w:val="000000"/>
                <w:sz w:val="18"/>
              </w:rPr>
              <w:t>1.02–2.16</w:t>
            </w:r>
          </w:p>
        </w:tc>
        <w:tc>
          <w:tcPr>
            <w:tcW w:type="dxa" w:w="216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/>
                <w:color w:val="000000"/>
              </w:rPr>
            </w:r>
            <w:r>
              <w:rPr>
                <w:rFonts w:ascii="Times New Roman" w:hAnsi="Times New Roman"/>
                <w:b/>
                <w:i w:val="0"/>
                <w:color w:val="000000"/>
                <w:sz w:val="18"/>
              </w:rPr>
              <w:t>0.038</w:t>
            </w:r>
          </w:p>
        </w:tc>
      </w:tr>
      <w:tr>
        <w:tc>
          <w:tcPr>
            <w:tcW w:type="dxa" w:w="2160"/>
            <w:tcBorders>
              <w:top w:val="nil"/>
              <w:left w:val="nil"/>
              <w:bottom w:val="single" w:sz="12" w:color="000000"/>
              <w:right w:val="nil"/>
            </w:tcBorders>
          </w:tcPr>
          <w:p>
            <w:pPr>
              <w:jc w:val="left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Era-stratified: late period (n = 705)</w:t>
            </w:r>
          </w:p>
        </w:tc>
        <w:tc>
          <w:tcPr>
            <w:tcW w:type="dxa" w:w="2160"/>
            <w:tcBorders>
              <w:top w:val="nil"/>
              <w:left w:val="nil"/>
              <w:bottom w:val="single" w:sz="12" w:color="000000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1.18</w:t>
            </w:r>
          </w:p>
        </w:tc>
        <w:tc>
          <w:tcPr>
            <w:tcW w:type="dxa" w:w="2160"/>
            <w:tcBorders>
              <w:top w:val="nil"/>
              <w:left w:val="nil"/>
              <w:bottom w:val="single" w:sz="12" w:color="000000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0.81–1.70</w:t>
            </w:r>
          </w:p>
        </w:tc>
        <w:tc>
          <w:tcPr>
            <w:tcW w:type="dxa" w:w="2160"/>
            <w:tcBorders>
              <w:top w:val="nil"/>
              <w:left w:val="nil"/>
              <w:bottom w:val="single" w:sz="12" w:color="000000"/>
              <w:right w:val="nil"/>
            </w:tcBorders>
          </w:tcPr>
          <w:p>
            <w:pPr>
              <w:jc w:val="center"/>
            </w:pPr>
            <w:r>
              <w:rPr>
                <w:b w:val="0"/>
                <w:color w:val="000000"/>
              </w:rPr>
            </w: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0.392</w:t>
            </w:r>
          </w:p>
        </w:tc>
      </w:tr>
    </w:tbl>
    <w:p>
      <w:r>
        <w:rPr>
          <w:rFonts w:ascii="Times New Roman" w:hAnsi="Times New Roman"/>
          <w:i/>
          <w:color w:val="000000"/>
          <w:sz w:val="16"/>
        </w:rPr>
        <w:t>All 12 analyses show adjusted OR &gt; 1.0, demonstrating directional consistency of the association between platelet transfusion and AKI. Bold text indicates statistically significant results (P &lt; 0.05). E-values for unmeasured confounding: PSM point estimate = 1.66 (CI lower bound = 1.32); full-cohort point estimate = 1.52 (CI lower bound = 1.13). Abbreviations: OR, odds ratio; CI, confidence interval; AKI, acute kidney injury; PSM, propensity score matching; MICE, multiple imputation by chained equations; PLT, platelet; RBC, red blood cell; FFP, fresh frozen plasma; T₀, time of sepsis onset.</w:t>
      </w:r>
    </w:p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