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F4619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Identification of five lipotoxicity-related genes as prognostic genes for predicting prognosis in hepatocellular carcinoma based on transcriptomics and experimental validation</w:t>
      </w:r>
    </w:p>
    <w:p w14:paraId="5867F6D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color w:val="000000" w:themeColor="text1"/>
          <w:szCs w:val="28"/>
          <w:vertAlign w:val="superscript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Wenhai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Y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e</w:t>
      </w:r>
      <w:r>
        <w:rPr>
          <w:rFonts w:hint="eastAsia"/>
          <w:color w:val="000000" w:themeColor="text1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, Yongjian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i</w:t>
      </w:r>
      <w:r>
        <w:rPr>
          <w:rFonts w:hint="eastAsia"/>
          <w:color w:val="000000" w:themeColor="text1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, Linyun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iu</w:t>
      </w:r>
      <w:r>
        <w:rPr>
          <w:rFonts w:hint="eastAsia"/>
          <w:color w:val="000000" w:themeColor="text1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, Zhengwei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W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ang</w:t>
      </w:r>
      <w:r>
        <w:rPr>
          <w:rFonts w:hint="eastAsia"/>
          <w:color w:val="000000" w:themeColor="text1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, Sikai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iu</w:t>
      </w:r>
      <w:r>
        <w:rPr>
          <w:rFonts w:hint="eastAsia"/>
          <w:color w:val="000000" w:themeColor="text1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, Wanyin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hi</w:t>
      </w:r>
      <w:r>
        <w:rPr>
          <w:rFonts w:hint="eastAsia"/>
          <w:color w:val="000000" w:themeColor="text1"/>
          <w:szCs w:val="28"/>
          <w:vertAlign w:val="superscript"/>
          <w14:textFill>
            <w14:solidFill>
              <w14:schemeClr w14:val="tx1"/>
            </w14:solidFill>
          </w14:textFill>
        </w:rPr>
        <w:t>1*</w:t>
      </w:r>
    </w:p>
    <w:p w14:paraId="76C3C45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8"/>
          <w:vertAlign w:val="superscript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Department of Radiology, the First Affiliated Hospital of Anhui Medical University, Hefei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Anhui Province, China</w:t>
      </w:r>
    </w:p>
    <w:p w14:paraId="2C6E83B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color w:val="auto"/>
          <w:sz w:val="24"/>
          <w:szCs w:val="24"/>
          <w:vertAlign w:val="superscript"/>
        </w:rPr>
        <w:t>*</w:t>
      </w:r>
      <w:r>
        <w:rPr>
          <w:rFonts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Correspondence:</w:t>
      </w:r>
    </w:p>
    <w:p w14:paraId="0C5C33E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Wanyin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hi  </w:t>
      </w:r>
    </w:p>
    <w:p w14:paraId="6ADDB5F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>Department of Radiology, the First Affiliated Hospital of Anhui Medical University, Hefei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 Anhui Province, China</w:t>
      </w:r>
    </w:p>
    <w:p w14:paraId="5134643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Tel: </w:t>
      </w:r>
      <w:r>
        <w:rPr>
          <w:rFonts w:hint="eastAsia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+86-153-8099-8618</w:t>
      </w:r>
    </w:p>
    <w:p w14:paraId="315AA6E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"mailto:email@uni.edu" </w:instrText>
      </w:r>
      <w:r>
        <w:fldChar w:fldCharType="separate"/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Email:</w:t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yfy1462112@fy.ahmu.edu.cn</w:t>
      </w:r>
    </w:p>
    <w:p w14:paraId="308EF8F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80" w:lineRule="auto"/>
        <w:textAlignment w:val="auto"/>
        <w:rPr>
          <w:rFonts w:hint="default" w:cs="Times New Roman"/>
          <w:b/>
          <w:color w:val="auto"/>
          <w:sz w:val="24"/>
          <w:szCs w:val="24"/>
        </w:rPr>
      </w:pPr>
      <w:r>
        <w:rPr>
          <w:rFonts w:hint="default" w:cs="Times New Roman"/>
          <w:b/>
          <w:color w:val="auto"/>
          <w:sz w:val="24"/>
          <w:szCs w:val="24"/>
        </w:rPr>
        <w:t>Author information</w:t>
      </w:r>
    </w:p>
    <w:p w14:paraId="419451F1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cs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Wenhai Ye,</w:t>
      </w:r>
      <w:r>
        <w:fldChar w:fldCharType="begin"/>
      </w:r>
      <w:r>
        <w:instrText xml:space="preserve"> HYPERLINK "mailto:email@uni.edu" </w:instrText>
      </w:r>
      <w:r>
        <w:fldChar w:fldCharType="separate"/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Email:</w:t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yfy6462451@fy.ahmu.edu.cn</w:t>
      </w:r>
    </w:p>
    <w:p w14:paraId="3046362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cs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Yongjian Li,</w:t>
      </w:r>
      <w:r>
        <w:fldChar w:fldCharType="begin"/>
      </w:r>
      <w:r>
        <w:instrText xml:space="preserve"> HYPERLINK "mailto:email@uni.edu" </w:instrText>
      </w:r>
      <w:r>
        <w:fldChar w:fldCharType="separate"/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Email:</w:t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cs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2445011872@stu.ahmu.edu.cn</w:t>
      </w:r>
    </w:p>
    <w:p w14:paraId="698BFEB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="宋体" w:cs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Linyun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iu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Email</w:t>
      </w:r>
      <w:r>
        <w:rPr>
          <w:rFonts w:hint="eastAsia" w:cs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,2545011998@stu.ahmu.edu.cn</w:t>
      </w:r>
    </w:p>
    <w:p w14:paraId="7603DC7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Zhengwei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W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>ang</w:t>
      </w:r>
      <w:r>
        <w:rPr>
          <w:rFonts w:hint="eastAsia" w:cs="Times New Roman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fldChar w:fldCharType="begin"/>
      </w:r>
      <w:r>
        <w:instrText xml:space="preserve"> HYPERLINK "mailto:email@uni.edu" </w:instrText>
      </w:r>
      <w:r>
        <w:fldChar w:fldCharType="separate"/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Email:</w:t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2345011853@stu.ahmu.edu.cn</w:t>
      </w:r>
    </w:p>
    <w:p w14:paraId="62410EF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Sikai </w:t>
      </w:r>
      <w:r>
        <w:rPr>
          <w:rFonts w:hint="eastAsia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/>
          <w:color w:val="000000" w:themeColor="text1"/>
          <w:szCs w:val="28"/>
          <w14:textFill>
            <w14:solidFill>
              <w14:schemeClr w14:val="tx1"/>
            </w14:solidFill>
          </w14:textFill>
        </w:rPr>
        <w:t xml:space="preserve">iu, </w:t>
      </w:r>
      <w:r>
        <w:fldChar w:fldCharType="begin"/>
      </w:r>
      <w:r>
        <w:instrText xml:space="preserve"> HYPERLINK "mailto:email@uni.edu" </w:instrText>
      </w:r>
      <w:r>
        <w:fldChar w:fldCharType="separate"/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Email:</w:t>
      </w:r>
      <w:r>
        <w:rPr>
          <w:rFonts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cs="Times New Roman"/>
          <w:bCs/>
          <w:color w:val="000000" w:themeColor="text1"/>
          <w14:textFill>
            <w14:solidFill>
              <w14:schemeClr w14:val="tx1"/>
            </w14:solidFill>
          </w14:textFill>
        </w:rPr>
        <w:t>2546010235@stu.ahmu.edu.cn</w:t>
      </w:r>
    </w:p>
    <w:p w14:paraId="5DA79B3A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cs="Times New Roman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0D10601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="0" w:line="480" w:lineRule="auto"/>
        <w:ind w:left="0" w:firstLine="0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vertAlign w:val="baseline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snapToGrid w:val="0"/>
          <w:color w:val="auto"/>
          <w:sz w:val="24"/>
          <w:szCs w:val="24"/>
          <w:vertAlign w:val="baseline"/>
          <w:lang w:val="en-US" w:eastAsia="zh-CN" w:bidi="en-US"/>
        </w:rPr>
        <w:t>Supplementary Materials</w:t>
      </w:r>
    </w:p>
    <w:p w14:paraId="007E7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Supplementary Figure 1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/>
        </w:rPr>
        <w:t>Proportional hazards (PH) assumption test for genes screened by univariate Cox regression analysis.</w:t>
      </w:r>
    </w:p>
    <w:p w14:paraId="6C08D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2 </w:t>
      </w:r>
      <w:r>
        <w:rPr>
          <w:rFonts w:hint="eastAsia" w:cs="Times New Roman"/>
          <w:b w:val="0"/>
          <w:bCs w:val="0"/>
          <w:color w:val="auto"/>
        </w:rPr>
        <w:t>PH assumption test for genes screened by multivariate Cox regression analysis.</w:t>
      </w:r>
    </w:p>
    <w:p w14:paraId="75B95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Supplementary Figure </w:t>
      </w:r>
      <w:r>
        <w:rPr>
          <w:rFonts w:hint="eastAsia" w:cs="Times New Roman"/>
          <w:b/>
          <w:bCs/>
          <w:color w:val="auto"/>
          <w:sz w:val="24"/>
          <w:szCs w:val="24"/>
          <w:lang w:val="en-US" w:eastAsia="zh-CN"/>
        </w:rPr>
        <w:t xml:space="preserve">3 </w:t>
      </w:r>
      <w:r>
        <w:rPr>
          <w:rFonts w:hint="eastAsia" w:cs="Times New Roman"/>
          <w:b w:val="0"/>
          <w:bCs w:val="0"/>
          <w:color w:val="auto"/>
        </w:rPr>
        <w:t>PH assumption test for variables screened via univariate Cox regression analysis.</w:t>
      </w:r>
    </w:p>
    <w:p w14:paraId="2E7E9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ins w:id="0" w:author="Administrator" w:date="2026-06-15T17:13:20Z"/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Supplementary Figure </w:t>
      </w:r>
      <w:r>
        <w:rPr>
          <w:rFonts w:hint="eastAsia" w:cs="Times New Roman"/>
          <w:b/>
          <w:bCs/>
          <w:color w:val="auto"/>
          <w:sz w:val="24"/>
          <w:szCs w:val="24"/>
          <w:lang w:val="en-US" w:eastAsia="zh-CN"/>
        </w:rPr>
        <w:t>4</w:t>
      </w:r>
      <w:r>
        <w:rPr>
          <w:rFonts w:hint="eastAsia"/>
          <w:lang w:val="en-US" w:eastAsia="zh-CN"/>
        </w:rPr>
        <w:t xml:space="preserve"> PH assumption test for variables screened via multivariate Cox regression analysis.</w:t>
      </w:r>
    </w:p>
    <w:p w14:paraId="35BD5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Supplementary</w:t>
      </w:r>
      <w:r>
        <w:rPr>
          <w:rFonts w:hint="eastAsia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Figure </w:t>
      </w:r>
      <w:r>
        <w:rPr>
          <w:rFonts w:hint="eastAsia" w:cs="Times New Roman"/>
          <w:b/>
          <w:bCs/>
          <w:color w:val="auto"/>
          <w:sz w:val="24"/>
          <w:szCs w:val="24"/>
          <w:lang w:val="en-US" w:eastAsia="zh-CN"/>
        </w:rPr>
        <w:t>5.</w:t>
      </w:r>
      <w:r>
        <w:rPr>
          <w:rFonts w:hint="eastAsia" w:ascii="Times New Roman" w:eastAsia="宋体"/>
          <w:lang w:val="en-US" w:eastAsia="zh-CN"/>
        </w:rPr>
        <w:t xml:space="preserve"> Quality control, dimensionality reduction, and preprocessing of single-cell RNA-seq data from GSE149614. (a-b) Violin plots showing quality-control metrics, including nFeature_RNA, nCount_RNA, and percent.mt, before and/or after cell filtering. (c) Identification of highly variable genes (HVGs). (d</w:t>
      </w:r>
      <w:r>
        <w:rPr>
          <w:rFonts w:hint="eastAsia"/>
          <w:lang w:val="en-US" w:eastAsia="zh-CN"/>
        </w:rPr>
        <w:t>-e</w:t>
      </w:r>
      <w:r>
        <w:rPr>
          <w:rFonts w:hint="eastAsia" w:ascii="Times New Roman" w:eastAsia="宋体"/>
          <w:lang w:val="en-US" w:eastAsia="zh-CN"/>
        </w:rPr>
        <w:t>) Principal component selection based on JackStrawPlot and ElbowPlot results.</w:t>
      </w:r>
    </w:p>
    <w:p w14:paraId="7B7CB70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Supplementary Table</w:t>
      </w:r>
      <w:r>
        <w:rPr>
          <w:rFonts w:hint="eastAsia"/>
        </w:rPr>
        <w:t xml:space="preserve"> </w:t>
      </w: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</w:rPr>
        <w:t xml:space="preserve"> The 3,944 DEGs identified in this study</w:t>
      </w:r>
    </w:p>
    <w:p w14:paraId="0DCBFB8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Supplementary Table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>2</w:t>
      </w:r>
      <w:r>
        <w:rPr>
          <w:rFonts w:hint="eastAsia"/>
        </w:rPr>
        <w:t xml:space="preserve"> The 89 candidate genes related to HCC and lipotoxicity identified in this study</w:t>
      </w:r>
    </w:p>
    <w:p w14:paraId="657D0B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Supplementary Table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3</w:t>
      </w:r>
      <w:r>
        <w:rPr>
          <w:rFonts w:hint="eastAsia"/>
        </w:rPr>
        <w:t xml:space="preserve"> The 994 GO terms significantly enriched in candidate genes</w:t>
      </w:r>
    </w:p>
    <w:p w14:paraId="7C9145B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Supplementary Table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>4</w:t>
      </w:r>
      <w:r>
        <w:rPr>
          <w:rFonts w:hint="eastAsia"/>
        </w:rPr>
        <w:t xml:space="preserve"> The 86 KEGG pathways significantly enriched in candidate genes</w:t>
      </w:r>
    </w:p>
    <w:p w14:paraId="1B6C612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rFonts w:hint="eastAsia"/>
          <w:b/>
          <w:bCs/>
        </w:rPr>
        <w:t xml:space="preserve">Supplementary Table </w:t>
      </w:r>
      <w:r>
        <w:rPr>
          <w:rFonts w:hint="eastAsia"/>
          <w:b/>
          <w:bCs/>
          <w:lang w:eastAsia="zh-CN"/>
        </w:rPr>
        <w:t>5</w:t>
      </w:r>
      <w:r>
        <w:rPr>
          <w:rFonts w:hint="eastAsia"/>
        </w:rPr>
        <w:t xml:space="preserve"> The 35 KEGG pathways with significant differences between the HRG and LRG</w:t>
      </w:r>
    </w:p>
    <w:p w14:paraId="0D5ADBA7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Supplementary Table</w:t>
      </w:r>
      <w:r>
        <w:rPr>
          <w:rFonts w:hint="eastAsia"/>
        </w:rPr>
        <w:t xml:space="preserve"> 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</w:rPr>
        <w:t xml:space="preserve"> The 463 LTXGs collected in this research</w:t>
      </w:r>
    </w:p>
    <w:p w14:paraId="63DCDA94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bookmarkStart w:id="0" w:name="_GoBack"/>
      <w:bookmarkEnd w:id="0"/>
    </w:p>
    <w:p w14:paraId="72C2D6AB">
      <w:pP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 w:bidi="ar"/>
        </w:rPr>
      </w:pPr>
    </w:p>
    <w:p w14:paraId="4EC30D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D520A2"/>
    <w:rsid w:val="02F759F3"/>
    <w:rsid w:val="04D014E5"/>
    <w:rsid w:val="0C5F12FB"/>
    <w:rsid w:val="0ED520A2"/>
    <w:rsid w:val="1396715A"/>
    <w:rsid w:val="18743C3F"/>
    <w:rsid w:val="1BE830BF"/>
    <w:rsid w:val="2EE80674"/>
    <w:rsid w:val="419A579F"/>
    <w:rsid w:val="47705182"/>
    <w:rsid w:val="59F8510C"/>
    <w:rsid w:val="6F10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MDPI_6.3_notes"/>
    <w:autoRedefine/>
    <w:qFormat/>
    <w:uiPriority w:val="0"/>
    <w:pPr>
      <w:adjustRightInd w:val="0"/>
      <w:snapToGrid w:val="0"/>
      <w:spacing w:before="240" w:line="280" w:lineRule="atLeast"/>
      <w:jc w:val="both"/>
    </w:pPr>
    <w:rPr>
      <w:rFonts w:ascii="Palatino Linotype" w:hAnsi="Palatino Linotype" w:eastAsia="宋体" w:cs="Times New Roman"/>
      <w:snapToGrid w:val="0"/>
      <w:color w:val="000000"/>
      <w:sz w:val="18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265</Words>
  <Characters>1896</Characters>
  <Lines>0</Lines>
  <Paragraphs>0</Paragraphs>
  <TotalTime>13</TotalTime>
  <ScaleCrop>false</ScaleCrop>
  <LinksUpToDate>false</LinksUpToDate>
  <CharactersWithSpaces>2137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2026-05-08T15:22:00Z</dcterms:created>
  <dc:creator>叶文海</dc:creator>
  <cp:lastModifiedBy>叶文海</cp:lastModifiedBy>
  <dcterms:modified xsi:type="dcterms:W3CDTF">2026-06-22T13:03:28Z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6C108DF1F2614C0EABFD1EECF0439FA7_13</vt:lpwstr>
  </property>
  <property fmtid="{D5CDD505-2E9C-101B-9397-08002B2CF9AE}" pid="4" name="KSOTemplateDocerSaveRecord">
    <vt:lpwstr>eyJoZGlkIjoiNjU2Zjc2MTlkNWNjYjA5ZWZjZWU2YzNlYzZkOWI2YzgiLCJ1c2VySWQiOiIyNjIyNDU0NjUifQ==</vt:lpwstr>
  </property>
</Properties>
</file>