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42294" w14:textId="1070E563" w:rsidR="004F0DF8" w:rsidRDefault="00964E26" w:rsidP="00964E26">
      <w:pPr>
        <w:pStyle w:val="Heading2"/>
      </w:pPr>
      <w:r>
        <w:t>Supplementary Table and Figures</w:t>
      </w:r>
    </w:p>
    <w:p w14:paraId="27797356" w14:textId="77777777" w:rsidR="004F0DF8" w:rsidRDefault="004F0DF8"/>
    <w:tbl>
      <w:tblPr>
        <w:tblW w:w="10456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410"/>
        <w:gridCol w:w="1490"/>
        <w:gridCol w:w="1737"/>
        <w:gridCol w:w="1559"/>
        <w:gridCol w:w="1701"/>
        <w:gridCol w:w="1559"/>
      </w:tblGrid>
      <w:tr w:rsidR="004F0DF8" w14:paraId="5B251226" w14:textId="77777777" w:rsidTr="00C21EED">
        <w:trPr>
          <w:trHeight w:val="295"/>
        </w:trPr>
        <w:tc>
          <w:tcPr>
            <w:tcW w:w="10456" w:type="dxa"/>
            <w:gridSpan w:val="6"/>
            <w:tcBorders>
              <w:bottom w:val="single" w:sz="12" w:space="0" w:color="000000"/>
            </w:tcBorders>
            <w:vAlign w:val="center"/>
          </w:tcPr>
          <w:p w14:paraId="62A12569" w14:textId="396336CF" w:rsidR="004F0DF8" w:rsidRPr="004F0DF8" w:rsidRDefault="004F0DF8" w:rsidP="003E449B">
            <w:pPr>
              <w:rPr>
                <w:rFonts w:ascii="Calibri" w:hAnsi="Calibri" w:cs="Calibri"/>
              </w:rPr>
            </w:pPr>
            <w:r w:rsidRPr="00964E26">
              <w:rPr>
                <w:rFonts w:ascii="Calibri" w:hAnsi="Calibri" w:cs="Calibri"/>
                <w:b/>
                <w:bCs/>
              </w:rPr>
              <w:t xml:space="preserve">Table </w:t>
            </w:r>
            <w:r w:rsidRPr="00964E26">
              <w:rPr>
                <w:rFonts w:ascii="Calibri" w:hAnsi="Calibri" w:cs="Calibri"/>
                <w:b/>
                <w:bCs/>
              </w:rPr>
              <w:t>S1</w:t>
            </w:r>
            <w:r w:rsidRPr="004F0DF8">
              <w:rPr>
                <w:rFonts w:ascii="Calibri" w:hAnsi="Calibri" w:cs="Calibri"/>
              </w:rPr>
              <w:t>.  Associations (partial correlations) between (adjusted) mean pre-to-post session change on VAS measures and levels of intervention immersion, post-session SSQ score and (adjusted) pre-to-post session change on the SSQ for VR Headset (VR) and Video intervention participants.</w:t>
            </w:r>
          </w:p>
        </w:tc>
      </w:tr>
      <w:tr w:rsidR="004F0DF8" w14:paraId="4B41299F" w14:textId="77777777" w:rsidTr="00C21EED">
        <w:trPr>
          <w:trHeight w:val="340"/>
        </w:trPr>
        <w:tc>
          <w:tcPr>
            <w:tcW w:w="2410" w:type="dxa"/>
            <w:tcBorders>
              <w:top w:val="single" w:sz="12" w:space="0" w:color="000000"/>
            </w:tcBorders>
            <w:vAlign w:val="center"/>
          </w:tcPr>
          <w:p w14:paraId="38360FF3" w14:textId="77777777" w:rsidR="004F0DF8" w:rsidRPr="004F0DF8" w:rsidRDefault="004F0DF8" w:rsidP="003E449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12" w:space="0" w:color="000000"/>
            </w:tcBorders>
            <w:vAlign w:val="center"/>
          </w:tcPr>
          <w:p w14:paraId="0D0EB672" w14:textId="77777777" w:rsidR="004F0DF8" w:rsidRPr="004F0DF8" w:rsidRDefault="004F0DF8" w:rsidP="004F0DF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Stress</w:t>
            </w:r>
          </w:p>
        </w:tc>
        <w:tc>
          <w:tcPr>
            <w:tcW w:w="1737" w:type="dxa"/>
            <w:tcBorders>
              <w:top w:val="single" w:sz="12" w:space="0" w:color="000000"/>
            </w:tcBorders>
            <w:vAlign w:val="center"/>
          </w:tcPr>
          <w:p w14:paraId="0879ECBD" w14:textId="77777777" w:rsidR="004F0DF8" w:rsidRPr="004F0DF8" w:rsidRDefault="004F0DF8" w:rsidP="004F0DF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Anxious</w:t>
            </w:r>
          </w:p>
        </w:tc>
        <w:tc>
          <w:tcPr>
            <w:tcW w:w="1559" w:type="dxa"/>
            <w:tcBorders>
              <w:top w:val="single" w:sz="12" w:space="0" w:color="000000"/>
            </w:tcBorders>
            <w:vAlign w:val="center"/>
          </w:tcPr>
          <w:p w14:paraId="487BC06A" w14:textId="77777777" w:rsidR="004F0DF8" w:rsidRPr="004F0DF8" w:rsidRDefault="004F0DF8" w:rsidP="004F0DF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Sad</w:t>
            </w:r>
          </w:p>
        </w:tc>
        <w:tc>
          <w:tcPr>
            <w:tcW w:w="1701" w:type="dxa"/>
            <w:vAlign w:val="center"/>
          </w:tcPr>
          <w:p w14:paraId="4E916D5C" w14:textId="77777777" w:rsidR="004F0DF8" w:rsidRPr="004F0DF8" w:rsidRDefault="004F0DF8" w:rsidP="004F0DF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Calm</w:t>
            </w:r>
          </w:p>
        </w:tc>
        <w:tc>
          <w:tcPr>
            <w:tcW w:w="1559" w:type="dxa"/>
            <w:vAlign w:val="center"/>
          </w:tcPr>
          <w:p w14:paraId="3C1D4DDF" w14:textId="77777777" w:rsidR="004F0DF8" w:rsidRPr="004F0DF8" w:rsidRDefault="004F0DF8" w:rsidP="004F0DF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Happy</w:t>
            </w:r>
          </w:p>
        </w:tc>
      </w:tr>
      <w:tr w:rsidR="004F0DF8" w14:paraId="43216EE3" w14:textId="77777777" w:rsidTr="00C21EED">
        <w:trPr>
          <w:trHeight w:val="312"/>
        </w:trPr>
        <w:tc>
          <w:tcPr>
            <w:tcW w:w="2410" w:type="dxa"/>
            <w:vAlign w:val="center"/>
          </w:tcPr>
          <w:p w14:paraId="1DE688CA" w14:textId="77777777" w:rsidR="004F0DF8" w:rsidRPr="004F0DF8" w:rsidRDefault="004F0DF8" w:rsidP="003E449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90" w:type="dxa"/>
            <w:vAlign w:val="center"/>
          </w:tcPr>
          <w:p w14:paraId="301A608F" w14:textId="77777777" w:rsidR="004F0DF8" w:rsidRPr="004F0DF8" w:rsidRDefault="004F0DF8" w:rsidP="004F0DF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r (CI)</w:t>
            </w:r>
          </w:p>
        </w:tc>
        <w:tc>
          <w:tcPr>
            <w:tcW w:w="1737" w:type="dxa"/>
          </w:tcPr>
          <w:p w14:paraId="7EF72A1C" w14:textId="77777777" w:rsidR="004F0DF8" w:rsidRPr="004F0DF8" w:rsidRDefault="004F0DF8" w:rsidP="004F0DF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r (CI)</w:t>
            </w:r>
          </w:p>
        </w:tc>
        <w:tc>
          <w:tcPr>
            <w:tcW w:w="1559" w:type="dxa"/>
          </w:tcPr>
          <w:p w14:paraId="6B175E0B" w14:textId="77777777" w:rsidR="004F0DF8" w:rsidRPr="004F0DF8" w:rsidRDefault="004F0DF8" w:rsidP="004F0DF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r (CI)</w:t>
            </w:r>
          </w:p>
        </w:tc>
        <w:tc>
          <w:tcPr>
            <w:tcW w:w="1701" w:type="dxa"/>
          </w:tcPr>
          <w:p w14:paraId="7A7FBF28" w14:textId="77777777" w:rsidR="004F0DF8" w:rsidRPr="004F0DF8" w:rsidRDefault="004F0DF8" w:rsidP="004F0DF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r (CI)</w:t>
            </w:r>
          </w:p>
        </w:tc>
        <w:tc>
          <w:tcPr>
            <w:tcW w:w="1559" w:type="dxa"/>
          </w:tcPr>
          <w:p w14:paraId="11D568C8" w14:textId="77777777" w:rsidR="004F0DF8" w:rsidRPr="004F0DF8" w:rsidRDefault="004F0DF8" w:rsidP="004F0DF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r (CI)</w:t>
            </w:r>
          </w:p>
        </w:tc>
      </w:tr>
      <w:tr w:rsidR="004F0DF8" w14:paraId="31DCC0F3" w14:textId="77777777" w:rsidTr="00C21EED">
        <w:trPr>
          <w:trHeight w:val="312"/>
        </w:trPr>
        <w:tc>
          <w:tcPr>
            <w:tcW w:w="2410" w:type="dxa"/>
            <w:vAlign w:val="center"/>
          </w:tcPr>
          <w:p w14:paraId="74A7D713" w14:textId="77777777" w:rsidR="004F0DF8" w:rsidRPr="004F0DF8" w:rsidRDefault="004F0DF8" w:rsidP="003E449B">
            <w:pPr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4F0DF8">
              <w:rPr>
                <w:rFonts w:ascii="Calibri" w:hAnsi="Calibri" w:cs="Calibri"/>
                <w:sz w:val="22"/>
                <w:szCs w:val="22"/>
                <w:u w:val="single"/>
              </w:rPr>
              <w:t>VR participants</w:t>
            </w:r>
          </w:p>
        </w:tc>
        <w:tc>
          <w:tcPr>
            <w:tcW w:w="1490" w:type="dxa"/>
            <w:vAlign w:val="center"/>
          </w:tcPr>
          <w:p w14:paraId="65F2E139" w14:textId="77777777" w:rsidR="004F0DF8" w:rsidRPr="004F0DF8" w:rsidRDefault="004F0DF8" w:rsidP="003E449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37" w:type="dxa"/>
            <w:vAlign w:val="center"/>
          </w:tcPr>
          <w:p w14:paraId="31B72226" w14:textId="77777777" w:rsidR="004F0DF8" w:rsidRPr="004F0DF8" w:rsidRDefault="004F0DF8" w:rsidP="003E449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59A5C87F" w14:textId="77777777" w:rsidR="004F0DF8" w:rsidRPr="004F0DF8" w:rsidRDefault="004F0DF8" w:rsidP="003E449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8098EEC" w14:textId="77777777" w:rsidR="004F0DF8" w:rsidRPr="004F0DF8" w:rsidRDefault="004F0DF8" w:rsidP="003E449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31BCC4F5" w14:textId="77777777" w:rsidR="004F0DF8" w:rsidRPr="004F0DF8" w:rsidRDefault="004F0DF8" w:rsidP="003E449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F0DF8" w14:paraId="74400FD0" w14:textId="77777777" w:rsidTr="00C21EED">
        <w:trPr>
          <w:trHeight w:val="312"/>
        </w:trPr>
        <w:tc>
          <w:tcPr>
            <w:tcW w:w="2410" w:type="dxa"/>
            <w:vAlign w:val="center"/>
          </w:tcPr>
          <w:p w14:paraId="7CE2EADD" w14:textId="77777777" w:rsidR="004F0DF8" w:rsidRPr="004F0DF8" w:rsidRDefault="004F0DF8" w:rsidP="003E449B">
            <w:pPr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Immersion</w:t>
            </w:r>
          </w:p>
        </w:tc>
        <w:tc>
          <w:tcPr>
            <w:tcW w:w="1490" w:type="dxa"/>
            <w:vAlign w:val="center"/>
          </w:tcPr>
          <w:p w14:paraId="28591028" w14:textId="1685074E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0.42**</w:t>
            </w:r>
          </w:p>
          <w:p w14:paraId="7BCD8959" w14:textId="77777777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(0.07,0.70)</w:t>
            </w:r>
          </w:p>
        </w:tc>
        <w:tc>
          <w:tcPr>
            <w:tcW w:w="1737" w:type="dxa"/>
            <w:vAlign w:val="center"/>
          </w:tcPr>
          <w:p w14:paraId="171B0BBA" w14:textId="0875FC3A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0.52***</w:t>
            </w:r>
          </w:p>
          <w:p w14:paraId="039DA3BC" w14:textId="77777777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(0.21,0.74)</w:t>
            </w:r>
          </w:p>
        </w:tc>
        <w:tc>
          <w:tcPr>
            <w:tcW w:w="1559" w:type="dxa"/>
            <w:vAlign w:val="center"/>
          </w:tcPr>
          <w:p w14:paraId="519F0982" w14:textId="3159FC16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0.29*</w:t>
            </w:r>
          </w:p>
          <w:p w14:paraId="5D3CB27E" w14:textId="77777777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(0.04,0.52)</w:t>
            </w:r>
          </w:p>
        </w:tc>
        <w:tc>
          <w:tcPr>
            <w:tcW w:w="1701" w:type="dxa"/>
            <w:vAlign w:val="center"/>
          </w:tcPr>
          <w:p w14:paraId="7C9865AF" w14:textId="77777777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0.64***</w:t>
            </w:r>
          </w:p>
          <w:p w14:paraId="7D81E993" w14:textId="2FC48164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(0.49,0.78)</w:t>
            </w:r>
          </w:p>
        </w:tc>
        <w:tc>
          <w:tcPr>
            <w:tcW w:w="1559" w:type="dxa"/>
            <w:vAlign w:val="center"/>
          </w:tcPr>
          <w:p w14:paraId="7BEAA81B" w14:textId="77777777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0.50*** (0.26,0.71)</w:t>
            </w:r>
          </w:p>
        </w:tc>
      </w:tr>
      <w:tr w:rsidR="004F0DF8" w14:paraId="16181624" w14:textId="77777777" w:rsidTr="00C21EED">
        <w:trPr>
          <w:trHeight w:val="312"/>
        </w:trPr>
        <w:tc>
          <w:tcPr>
            <w:tcW w:w="2410" w:type="dxa"/>
            <w:vAlign w:val="center"/>
          </w:tcPr>
          <w:p w14:paraId="58AB9014" w14:textId="77777777" w:rsidR="004F0DF8" w:rsidRPr="004F0DF8" w:rsidRDefault="004F0DF8" w:rsidP="003E449B">
            <w:pPr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 xml:space="preserve">SSQ total (post-session) </w:t>
            </w:r>
          </w:p>
        </w:tc>
        <w:tc>
          <w:tcPr>
            <w:tcW w:w="1490" w:type="dxa"/>
            <w:vAlign w:val="center"/>
          </w:tcPr>
          <w:p w14:paraId="48C3304C" w14:textId="6428A89D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-0.13</w:t>
            </w:r>
          </w:p>
          <w:p w14:paraId="0320B612" w14:textId="77777777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(-0.41,0.20)</w:t>
            </w:r>
          </w:p>
        </w:tc>
        <w:tc>
          <w:tcPr>
            <w:tcW w:w="1737" w:type="dxa"/>
            <w:vAlign w:val="center"/>
          </w:tcPr>
          <w:p w14:paraId="18F57794" w14:textId="06D979F6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-0.05</w:t>
            </w:r>
          </w:p>
          <w:p w14:paraId="1BF93499" w14:textId="77777777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(-0.37,0.31)</w:t>
            </w:r>
          </w:p>
        </w:tc>
        <w:tc>
          <w:tcPr>
            <w:tcW w:w="1559" w:type="dxa"/>
            <w:vAlign w:val="center"/>
          </w:tcPr>
          <w:p w14:paraId="4263952B" w14:textId="60288D8F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-0.05</w:t>
            </w:r>
          </w:p>
          <w:p w14:paraId="015E6652" w14:textId="77777777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(-0.35,0.19)</w:t>
            </w:r>
          </w:p>
        </w:tc>
        <w:tc>
          <w:tcPr>
            <w:tcW w:w="1701" w:type="dxa"/>
            <w:vAlign w:val="center"/>
          </w:tcPr>
          <w:p w14:paraId="1D880725" w14:textId="77777777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-0.07</w:t>
            </w:r>
          </w:p>
          <w:p w14:paraId="0686E87E" w14:textId="77777777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(-0.36,0.38)</w:t>
            </w:r>
          </w:p>
        </w:tc>
        <w:tc>
          <w:tcPr>
            <w:tcW w:w="1559" w:type="dxa"/>
            <w:vAlign w:val="center"/>
          </w:tcPr>
          <w:p w14:paraId="0091E4C9" w14:textId="0ECB93D3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-0.01</w:t>
            </w:r>
          </w:p>
          <w:p w14:paraId="780294EC" w14:textId="77777777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(-0.37,0.38)</w:t>
            </w:r>
          </w:p>
        </w:tc>
      </w:tr>
      <w:tr w:rsidR="004F0DF8" w14:paraId="0624CA29" w14:textId="77777777" w:rsidTr="00C21EED">
        <w:trPr>
          <w:trHeight w:val="312"/>
        </w:trPr>
        <w:tc>
          <w:tcPr>
            <w:tcW w:w="2410" w:type="dxa"/>
            <w:vAlign w:val="center"/>
          </w:tcPr>
          <w:p w14:paraId="351615CE" w14:textId="77777777" w:rsidR="004F0DF8" w:rsidRPr="004F0DF8" w:rsidRDefault="004F0DF8" w:rsidP="003E449B">
            <w:pPr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 xml:space="preserve">SSQ change (adjusted) </w:t>
            </w:r>
          </w:p>
        </w:tc>
        <w:tc>
          <w:tcPr>
            <w:tcW w:w="1490" w:type="dxa"/>
            <w:vAlign w:val="center"/>
          </w:tcPr>
          <w:p w14:paraId="2B4F588D" w14:textId="32F2B635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-0.13</w:t>
            </w:r>
          </w:p>
          <w:p w14:paraId="1E04F576" w14:textId="77777777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(-0.37,0.11)</w:t>
            </w:r>
          </w:p>
        </w:tc>
        <w:tc>
          <w:tcPr>
            <w:tcW w:w="1737" w:type="dxa"/>
            <w:vAlign w:val="center"/>
          </w:tcPr>
          <w:p w14:paraId="3F497A59" w14:textId="2444DDB5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-0.09</w:t>
            </w:r>
          </w:p>
          <w:p w14:paraId="00E770F1" w14:textId="77777777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(0.15,-0.37)</w:t>
            </w:r>
          </w:p>
        </w:tc>
        <w:tc>
          <w:tcPr>
            <w:tcW w:w="1559" w:type="dxa"/>
            <w:vAlign w:val="center"/>
          </w:tcPr>
          <w:p w14:paraId="49E48167" w14:textId="00FA230D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-0.14</w:t>
            </w:r>
          </w:p>
          <w:p w14:paraId="5E451A91" w14:textId="77777777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(-0.38,0.05)</w:t>
            </w:r>
          </w:p>
        </w:tc>
        <w:tc>
          <w:tcPr>
            <w:tcW w:w="1701" w:type="dxa"/>
            <w:vAlign w:val="center"/>
          </w:tcPr>
          <w:p w14:paraId="1C19234A" w14:textId="171F6957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-0.19</w:t>
            </w:r>
          </w:p>
          <w:p w14:paraId="0B6B95F8" w14:textId="77777777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(-0.46,0.13)</w:t>
            </w:r>
          </w:p>
        </w:tc>
        <w:tc>
          <w:tcPr>
            <w:tcW w:w="1559" w:type="dxa"/>
            <w:vAlign w:val="center"/>
          </w:tcPr>
          <w:p w14:paraId="3964F488" w14:textId="2B18EA40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-0.19</w:t>
            </w:r>
          </w:p>
          <w:p w14:paraId="7105CA0A" w14:textId="77777777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(-0.47,0.07)</w:t>
            </w:r>
          </w:p>
        </w:tc>
      </w:tr>
      <w:tr w:rsidR="004F0DF8" w14:paraId="44AF5A9E" w14:textId="77777777" w:rsidTr="00C21EED">
        <w:trPr>
          <w:trHeight w:val="312"/>
        </w:trPr>
        <w:tc>
          <w:tcPr>
            <w:tcW w:w="2410" w:type="dxa"/>
            <w:vAlign w:val="center"/>
          </w:tcPr>
          <w:p w14:paraId="4C6C495B" w14:textId="77777777" w:rsidR="004F0DF8" w:rsidRPr="004F0DF8" w:rsidRDefault="004F0DF8" w:rsidP="003E449B">
            <w:pPr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Video participants</w:t>
            </w:r>
          </w:p>
        </w:tc>
        <w:tc>
          <w:tcPr>
            <w:tcW w:w="1490" w:type="dxa"/>
            <w:vAlign w:val="center"/>
          </w:tcPr>
          <w:p w14:paraId="71470651" w14:textId="77777777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37" w:type="dxa"/>
            <w:vAlign w:val="center"/>
          </w:tcPr>
          <w:p w14:paraId="4CCA3E99" w14:textId="77777777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05D04016" w14:textId="77777777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13750EE" w14:textId="77777777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62287222" w14:textId="77777777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F0DF8" w14:paraId="58A90081" w14:textId="77777777" w:rsidTr="00C21EED">
        <w:trPr>
          <w:trHeight w:val="312"/>
        </w:trPr>
        <w:tc>
          <w:tcPr>
            <w:tcW w:w="2410" w:type="dxa"/>
            <w:vAlign w:val="center"/>
          </w:tcPr>
          <w:p w14:paraId="16343831" w14:textId="77777777" w:rsidR="004F0DF8" w:rsidRPr="004F0DF8" w:rsidRDefault="004F0DF8" w:rsidP="003E449B">
            <w:pPr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4F0DF8">
              <w:rPr>
                <w:rFonts w:ascii="Calibri" w:hAnsi="Calibri" w:cs="Calibri"/>
                <w:sz w:val="22"/>
                <w:szCs w:val="22"/>
                <w:u w:val="single"/>
              </w:rPr>
              <w:t>Immersion</w:t>
            </w:r>
          </w:p>
        </w:tc>
        <w:tc>
          <w:tcPr>
            <w:tcW w:w="1490" w:type="dxa"/>
            <w:vAlign w:val="center"/>
          </w:tcPr>
          <w:p w14:paraId="6C5C6CA4" w14:textId="75DF6EB4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0.48**</w:t>
            </w:r>
          </w:p>
          <w:p w14:paraId="30C0BC4D" w14:textId="77777777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(0.18,0.68)</w:t>
            </w:r>
          </w:p>
        </w:tc>
        <w:tc>
          <w:tcPr>
            <w:tcW w:w="1737" w:type="dxa"/>
            <w:vAlign w:val="center"/>
          </w:tcPr>
          <w:p w14:paraId="6D049F06" w14:textId="17A6E298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0.27</w:t>
            </w:r>
          </w:p>
          <w:p w14:paraId="6555AD34" w14:textId="77777777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(0.01,0.48)</w:t>
            </w:r>
          </w:p>
        </w:tc>
        <w:tc>
          <w:tcPr>
            <w:tcW w:w="1559" w:type="dxa"/>
            <w:vAlign w:val="center"/>
          </w:tcPr>
          <w:p w14:paraId="22E27FD4" w14:textId="784FB25D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0.09</w:t>
            </w:r>
          </w:p>
          <w:p w14:paraId="664EBCFB" w14:textId="77777777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(-0.27,0.39)</w:t>
            </w:r>
          </w:p>
        </w:tc>
        <w:tc>
          <w:tcPr>
            <w:tcW w:w="1701" w:type="dxa"/>
            <w:vAlign w:val="center"/>
          </w:tcPr>
          <w:p w14:paraId="75B4E8A2" w14:textId="77777777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0.43** (0.12,0.68)</w:t>
            </w:r>
          </w:p>
        </w:tc>
        <w:tc>
          <w:tcPr>
            <w:tcW w:w="1559" w:type="dxa"/>
            <w:vAlign w:val="center"/>
          </w:tcPr>
          <w:p w14:paraId="384D8DEE" w14:textId="247A8F20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0.17</w:t>
            </w:r>
          </w:p>
          <w:p w14:paraId="124ABFB3" w14:textId="77777777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(-0.20,0.54)</w:t>
            </w:r>
          </w:p>
        </w:tc>
      </w:tr>
      <w:tr w:rsidR="004F0DF8" w14:paraId="6EB4DCD6" w14:textId="77777777" w:rsidTr="00C21EED">
        <w:trPr>
          <w:trHeight w:val="312"/>
        </w:trPr>
        <w:tc>
          <w:tcPr>
            <w:tcW w:w="2410" w:type="dxa"/>
            <w:vAlign w:val="center"/>
          </w:tcPr>
          <w:p w14:paraId="668543D4" w14:textId="77777777" w:rsidR="004F0DF8" w:rsidRPr="004F0DF8" w:rsidRDefault="004F0DF8" w:rsidP="003E449B">
            <w:pPr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 xml:space="preserve">SSQ total (post-session) </w:t>
            </w:r>
          </w:p>
        </w:tc>
        <w:tc>
          <w:tcPr>
            <w:tcW w:w="1490" w:type="dxa"/>
            <w:vAlign w:val="center"/>
          </w:tcPr>
          <w:p w14:paraId="21881C98" w14:textId="0CD1837D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-0.27</w:t>
            </w:r>
          </w:p>
          <w:p w14:paraId="7DBDC15E" w14:textId="77777777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(-0.53,0.06)</w:t>
            </w:r>
          </w:p>
        </w:tc>
        <w:tc>
          <w:tcPr>
            <w:tcW w:w="1737" w:type="dxa"/>
            <w:vAlign w:val="center"/>
          </w:tcPr>
          <w:p w14:paraId="73B01E4B" w14:textId="5CAE031D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-0.01</w:t>
            </w:r>
          </w:p>
          <w:p w14:paraId="468719DC" w14:textId="77777777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(-0.29,0.28)</w:t>
            </w:r>
          </w:p>
        </w:tc>
        <w:tc>
          <w:tcPr>
            <w:tcW w:w="1559" w:type="dxa"/>
            <w:vAlign w:val="center"/>
          </w:tcPr>
          <w:p w14:paraId="47F7D514" w14:textId="1ABA4BED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-0.06</w:t>
            </w:r>
          </w:p>
          <w:p w14:paraId="09B63709" w14:textId="77777777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(-0.39,0.24)</w:t>
            </w:r>
          </w:p>
        </w:tc>
        <w:tc>
          <w:tcPr>
            <w:tcW w:w="1701" w:type="dxa"/>
            <w:vAlign w:val="center"/>
          </w:tcPr>
          <w:p w14:paraId="2E6A14C9" w14:textId="77FF7526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-0.08</w:t>
            </w:r>
          </w:p>
          <w:p w14:paraId="36AC258F" w14:textId="77777777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(-0.38,0.28)</w:t>
            </w:r>
          </w:p>
        </w:tc>
        <w:tc>
          <w:tcPr>
            <w:tcW w:w="1559" w:type="dxa"/>
            <w:vAlign w:val="center"/>
          </w:tcPr>
          <w:p w14:paraId="05299DD1" w14:textId="1E3E1989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0.13</w:t>
            </w:r>
          </w:p>
          <w:p w14:paraId="28981D9D" w14:textId="77777777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(-0.20,0.43)</w:t>
            </w:r>
          </w:p>
        </w:tc>
      </w:tr>
      <w:tr w:rsidR="004F0DF8" w14:paraId="64E08564" w14:textId="77777777" w:rsidTr="00C21EED">
        <w:trPr>
          <w:trHeight w:val="312"/>
        </w:trPr>
        <w:tc>
          <w:tcPr>
            <w:tcW w:w="2410" w:type="dxa"/>
            <w:vAlign w:val="center"/>
          </w:tcPr>
          <w:p w14:paraId="2B88DE8D" w14:textId="77777777" w:rsidR="004F0DF8" w:rsidRPr="004F0DF8" w:rsidRDefault="004F0DF8" w:rsidP="003E449B">
            <w:pPr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 xml:space="preserve">SSQ change (adjusted) </w:t>
            </w:r>
          </w:p>
        </w:tc>
        <w:tc>
          <w:tcPr>
            <w:tcW w:w="1490" w:type="dxa"/>
            <w:vAlign w:val="center"/>
          </w:tcPr>
          <w:p w14:paraId="3CCE94C6" w14:textId="4F665172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-0.33*</w:t>
            </w:r>
          </w:p>
          <w:p w14:paraId="5C2E49B1" w14:textId="77777777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(-0.57,-0.06)</w:t>
            </w:r>
          </w:p>
        </w:tc>
        <w:tc>
          <w:tcPr>
            <w:tcW w:w="1737" w:type="dxa"/>
            <w:vAlign w:val="center"/>
          </w:tcPr>
          <w:p w14:paraId="76CDFC5D" w14:textId="234F507E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-0.12</w:t>
            </w:r>
          </w:p>
          <w:p w14:paraId="57577FA8" w14:textId="77777777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(-0.37,0.17)</w:t>
            </w:r>
          </w:p>
        </w:tc>
        <w:tc>
          <w:tcPr>
            <w:tcW w:w="1559" w:type="dxa"/>
            <w:vAlign w:val="center"/>
          </w:tcPr>
          <w:p w14:paraId="52C9443F" w14:textId="34CFAF97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-0.16</w:t>
            </w:r>
          </w:p>
          <w:p w14:paraId="0E4BF42A" w14:textId="77777777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(0.15,-0.45)</w:t>
            </w:r>
          </w:p>
        </w:tc>
        <w:tc>
          <w:tcPr>
            <w:tcW w:w="1701" w:type="dxa"/>
            <w:vAlign w:val="center"/>
          </w:tcPr>
          <w:p w14:paraId="12E2A97B" w14:textId="1E900814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-0.18</w:t>
            </w:r>
          </w:p>
          <w:p w14:paraId="1C8C8C55" w14:textId="77777777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(-0.48,0.17)</w:t>
            </w:r>
          </w:p>
        </w:tc>
        <w:tc>
          <w:tcPr>
            <w:tcW w:w="1559" w:type="dxa"/>
            <w:vAlign w:val="center"/>
          </w:tcPr>
          <w:p w14:paraId="56F058A4" w14:textId="1692A10A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-0.08</w:t>
            </w:r>
          </w:p>
          <w:p w14:paraId="5D857B85" w14:textId="77777777" w:rsidR="004F0DF8" w:rsidRPr="004F0DF8" w:rsidRDefault="004F0DF8" w:rsidP="004F0DF8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DF8">
              <w:rPr>
                <w:rFonts w:ascii="Calibri" w:hAnsi="Calibri" w:cs="Calibri"/>
                <w:sz w:val="22"/>
                <w:szCs w:val="22"/>
              </w:rPr>
              <w:t>(-0.43,0.24)</w:t>
            </w:r>
          </w:p>
        </w:tc>
      </w:tr>
      <w:tr w:rsidR="004F0DF8" w14:paraId="1D9CE20B" w14:textId="77777777" w:rsidTr="00C21EED">
        <w:trPr>
          <w:trHeight w:val="38"/>
        </w:trPr>
        <w:tc>
          <w:tcPr>
            <w:tcW w:w="10456" w:type="dxa"/>
            <w:gridSpan w:val="6"/>
            <w:tcBorders>
              <w:top w:val="single" w:sz="12" w:space="0" w:color="000000"/>
            </w:tcBorders>
            <w:vAlign w:val="center"/>
          </w:tcPr>
          <w:p w14:paraId="16C1A328" w14:textId="77777777" w:rsidR="004F0DF8" w:rsidRDefault="004F0DF8" w:rsidP="004F0DF8">
            <w:pPr>
              <w:spacing w:before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Note: Mean pre-to-post-session change on VAS measures were adjusted for pre-session scores. SSQ = Simulator sickness questionnaire; pre-to-post session change on the SSQ was adjusted for pre-session score. *p &lt; 0.05, **p &lt; 0.01, ***p &lt; 0.001.    </w:t>
            </w:r>
          </w:p>
        </w:tc>
      </w:tr>
    </w:tbl>
    <w:p w14:paraId="37C02D93" w14:textId="77777777" w:rsidR="004F0DF8" w:rsidRDefault="004F0DF8"/>
    <w:p w14:paraId="1FD545E1" w14:textId="77777777" w:rsidR="004F0DF8" w:rsidRDefault="004F0DF8"/>
    <w:p w14:paraId="723435C7" w14:textId="77777777" w:rsidR="004F0DF8" w:rsidRDefault="004F0DF8">
      <w:pPr>
        <w:sectPr w:rsidR="004F0DF8" w:rsidSect="004F0DF8">
          <w:footerReference w:type="default" r:id="rId6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1A92A5B1" w14:textId="45F1A167" w:rsidR="004F0DF8" w:rsidRDefault="004F0DF8">
      <w:r>
        <w:rPr>
          <w:noProof/>
        </w:rPr>
        <w:lastRenderedPageBreak/>
        <w:drawing>
          <wp:inline distT="0" distB="0" distL="0" distR="0" wp14:anchorId="34A76B42" wp14:editId="4567189D">
            <wp:extent cx="7340600" cy="5139091"/>
            <wp:effectExtent l="0" t="0" r="0" b="4445"/>
            <wp:docPr id="19144760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883" cy="5152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EA43AF" w14:textId="47A875A4" w:rsidR="00964E26" w:rsidRDefault="004F0DF8" w:rsidP="004F0DF8">
      <w:pPr>
        <w:rPr>
          <w:rFonts w:ascii="Calibri" w:hAnsi="Calibri" w:cs="Calibri"/>
        </w:rPr>
        <w:sectPr w:rsidR="00964E26" w:rsidSect="004F0DF8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  <w:r w:rsidRPr="00964E26">
        <w:rPr>
          <w:rFonts w:ascii="Calibri" w:hAnsi="Calibri" w:cs="Calibri"/>
          <w:b/>
          <w:bCs/>
        </w:rPr>
        <w:t xml:space="preserve">Figures </w:t>
      </w:r>
      <w:r w:rsidRPr="00964E26">
        <w:rPr>
          <w:rFonts w:ascii="Calibri" w:hAnsi="Calibri" w:cs="Calibri"/>
          <w:b/>
          <w:bCs/>
        </w:rPr>
        <w:t>S1</w:t>
      </w:r>
      <w:r w:rsidRPr="00964E26">
        <w:rPr>
          <w:rFonts w:ascii="Calibri" w:hAnsi="Calibri" w:cs="Calibri"/>
          <w:b/>
          <w:bCs/>
        </w:rPr>
        <w:t>a-S</w:t>
      </w:r>
      <w:r w:rsidRPr="00964E26">
        <w:rPr>
          <w:rFonts w:ascii="Calibri" w:hAnsi="Calibri" w:cs="Calibri"/>
          <w:b/>
          <w:bCs/>
        </w:rPr>
        <w:t>1</w:t>
      </w:r>
      <w:r w:rsidRPr="00964E26">
        <w:rPr>
          <w:rFonts w:ascii="Calibri" w:hAnsi="Calibri" w:cs="Calibri"/>
          <w:b/>
          <w:bCs/>
        </w:rPr>
        <w:t>c</w:t>
      </w:r>
      <w:r w:rsidRPr="004F0DF8">
        <w:rPr>
          <w:rFonts w:ascii="Calibri" w:hAnsi="Calibri" w:cs="Calibri"/>
        </w:rPr>
        <w:t xml:space="preserve">. </w:t>
      </w:r>
      <w:r w:rsidR="00421940">
        <w:rPr>
          <w:rFonts w:ascii="Calibri" w:hAnsi="Calibri" w:cs="Calibri"/>
        </w:rPr>
        <w:t>P</w:t>
      </w:r>
      <w:r w:rsidRPr="004F0DF8">
        <w:rPr>
          <w:rFonts w:ascii="Calibri" w:hAnsi="Calibri" w:cs="Calibri"/>
        </w:rPr>
        <w:t xml:space="preserve">erceived stress, wellbeing and mood scores at baseline and follow-up for (VR) and Video intervention participants (per-protocol approach; </w:t>
      </w:r>
      <w:r w:rsidRPr="00964E26">
        <w:rPr>
          <w:rFonts w:ascii="Calibri" w:hAnsi="Calibri" w:cs="Calibri"/>
          <w:b/>
          <w:bCs/>
        </w:rPr>
        <w:t>S</w:t>
      </w:r>
      <w:r w:rsidR="00964E26" w:rsidRPr="00964E26">
        <w:rPr>
          <w:rFonts w:ascii="Calibri" w:hAnsi="Calibri" w:cs="Calibri"/>
          <w:b/>
          <w:bCs/>
        </w:rPr>
        <w:t>1</w:t>
      </w:r>
      <w:r w:rsidRPr="00964E26">
        <w:rPr>
          <w:rFonts w:ascii="Calibri" w:hAnsi="Calibri" w:cs="Calibri"/>
          <w:b/>
          <w:bCs/>
        </w:rPr>
        <w:t>a</w:t>
      </w:r>
      <w:r w:rsidRPr="004F0DF8">
        <w:rPr>
          <w:rFonts w:ascii="Calibri" w:hAnsi="Calibri" w:cs="Calibri"/>
        </w:rPr>
        <w:t xml:space="preserve"> = Perceived Stress Scale (PSS); </w:t>
      </w:r>
      <w:r w:rsidRPr="00964E26">
        <w:rPr>
          <w:rFonts w:ascii="Calibri" w:hAnsi="Calibri" w:cs="Calibri"/>
          <w:b/>
          <w:bCs/>
        </w:rPr>
        <w:t>S</w:t>
      </w:r>
      <w:r w:rsidR="00964E26">
        <w:rPr>
          <w:rFonts w:ascii="Calibri" w:hAnsi="Calibri" w:cs="Calibri"/>
          <w:b/>
          <w:bCs/>
        </w:rPr>
        <w:t>1</w:t>
      </w:r>
      <w:r w:rsidRPr="00964E26">
        <w:rPr>
          <w:rFonts w:ascii="Calibri" w:hAnsi="Calibri" w:cs="Calibri"/>
          <w:b/>
          <w:bCs/>
        </w:rPr>
        <w:t>b</w:t>
      </w:r>
      <w:r w:rsidRPr="004F0DF8">
        <w:rPr>
          <w:rFonts w:ascii="Calibri" w:hAnsi="Calibri" w:cs="Calibri"/>
        </w:rPr>
        <w:t xml:space="preserve"> = Warwick-Edinburgh Mental Wellbeing Scale (WEMWBS); </w:t>
      </w:r>
      <w:r w:rsidRPr="00964E26">
        <w:rPr>
          <w:rFonts w:ascii="Calibri" w:hAnsi="Calibri" w:cs="Calibri"/>
          <w:b/>
          <w:bCs/>
        </w:rPr>
        <w:t>S</w:t>
      </w:r>
      <w:r w:rsidR="00964E26">
        <w:rPr>
          <w:rFonts w:ascii="Calibri" w:hAnsi="Calibri" w:cs="Calibri"/>
          <w:b/>
          <w:bCs/>
        </w:rPr>
        <w:t>1</w:t>
      </w:r>
      <w:r w:rsidRPr="00964E26">
        <w:rPr>
          <w:rFonts w:ascii="Calibri" w:hAnsi="Calibri" w:cs="Calibri"/>
          <w:b/>
          <w:bCs/>
        </w:rPr>
        <w:t>c</w:t>
      </w:r>
      <w:r w:rsidRPr="004F0DF8">
        <w:rPr>
          <w:rFonts w:ascii="Calibri" w:hAnsi="Calibri" w:cs="Calibri"/>
        </w:rPr>
        <w:t xml:space="preserve"> = Patient Health Questionnaire-2 (PHQ-2)).</w:t>
      </w:r>
      <w:r w:rsidR="00421940">
        <w:rPr>
          <w:rFonts w:ascii="Calibri" w:hAnsi="Calibri" w:cs="Calibri"/>
        </w:rPr>
        <w:t xml:space="preserve"> Value labels represent mean values. Error bars are 95% confidence intervals.</w:t>
      </w:r>
    </w:p>
    <w:p w14:paraId="04724369" w14:textId="77777777" w:rsidR="004F0DF8" w:rsidRDefault="004F0DF8" w:rsidP="004F0DF8">
      <w:pPr>
        <w:rPr>
          <w:rFonts w:ascii="Calibri" w:hAnsi="Calibri" w:cs="Calibri"/>
        </w:rPr>
      </w:pPr>
    </w:p>
    <w:p w14:paraId="0154A821" w14:textId="77777777" w:rsidR="004F0DF8" w:rsidRPr="004F0DF8" w:rsidRDefault="004F0DF8" w:rsidP="004F0DF8">
      <w:pPr>
        <w:rPr>
          <w:rFonts w:ascii="Calibri" w:hAnsi="Calibri" w:cs="Calibri"/>
        </w:rPr>
      </w:pPr>
    </w:p>
    <w:p w14:paraId="07BADB9F" w14:textId="2FD215BF" w:rsidR="004F0DF8" w:rsidRDefault="00964E26">
      <w:r>
        <w:rPr>
          <w:noProof/>
        </w:rPr>
        <w:drawing>
          <wp:inline distT="0" distB="0" distL="0" distR="0" wp14:anchorId="6C9FD9C2" wp14:editId="29753E78">
            <wp:extent cx="4664075" cy="3192780"/>
            <wp:effectExtent l="0" t="0" r="3175" b="7620"/>
            <wp:docPr id="172398873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00" b="6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075" cy="319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0E99B5" w14:textId="77777777" w:rsidR="004F0DF8" w:rsidRDefault="004F0DF8"/>
    <w:p w14:paraId="422D6C7E" w14:textId="68F3FF4A" w:rsidR="00964E26" w:rsidRPr="00964E26" w:rsidRDefault="00964E26" w:rsidP="00964E26">
      <w:pPr>
        <w:rPr>
          <w:rFonts w:ascii="Calibri" w:hAnsi="Calibri" w:cs="Calibri"/>
        </w:rPr>
      </w:pPr>
      <w:r w:rsidRPr="00964E26">
        <w:rPr>
          <w:rFonts w:ascii="Calibri" w:hAnsi="Calibri" w:cs="Calibri"/>
          <w:b/>
          <w:bCs/>
        </w:rPr>
        <w:t>Figure S</w:t>
      </w:r>
      <w:r w:rsidRPr="00964E26">
        <w:rPr>
          <w:rFonts w:ascii="Calibri" w:hAnsi="Calibri" w:cs="Calibri"/>
          <w:b/>
          <w:bCs/>
        </w:rPr>
        <w:t>2</w:t>
      </w:r>
      <w:r w:rsidRPr="00964E26">
        <w:rPr>
          <w:rFonts w:ascii="Calibri" w:hAnsi="Calibri" w:cs="Calibri"/>
        </w:rPr>
        <w:t xml:space="preserve">. Adjusted pre-to-post session mean change scores over the study for VR Headset (VR) and Video intervention study participants (per-protocol approach). </w:t>
      </w:r>
      <w:r w:rsidR="00421940" w:rsidRPr="00421940">
        <w:rPr>
          <w:rFonts w:ascii="Calibri" w:hAnsi="Calibri" w:cs="Calibri"/>
        </w:rPr>
        <w:t>Value labels represent mean values. Error bars are 95% confidence intervals.</w:t>
      </w:r>
      <w:r w:rsidR="00421940">
        <w:rPr>
          <w:rFonts w:ascii="Calibri" w:hAnsi="Calibri" w:cs="Calibri"/>
        </w:rPr>
        <w:t xml:space="preserve"> </w:t>
      </w:r>
      <w:r w:rsidRPr="00964E26">
        <w:rPr>
          <w:rFonts w:ascii="Calibri" w:hAnsi="Calibri" w:cs="Calibri"/>
        </w:rPr>
        <w:t xml:space="preserve">Asterisks indicate significant differences between study conditions: *p &lt; 0.05, **p &lt; 0.01, ***p &lt; 0.001.    </w:t>
      </w:r>
    </w:p>
    <w:p w14:paraId="32B39BC0" w14:textId="77777777" w:rsidR="004F0DF8" w:rsidRDefault="004F0DF8"/>
    <w:p w14:paraId="69A3115D" w14:textId="77777777" w:rsidR="005433B8" w:rsidRDefault="005433B8"/>
    <w:p w14:paraId="73FD0AC1" w14:textId="77777777" w:rsidR="005433B8" w:rsidRDefault="005433B8"/>
    <w:p w14:paraId="0B9B3D78" w14:textId="77777777" w:rsidR="005433B8" w:rsidRDefault="005433B8"/>
    <w:p w14:paraId="3DDBEA91" w14:textId="77777777" w:rsidR="005433B8" w:rsidRDefault="005433B8"/>
    <w:p w14:paraId="1B93BD72" w14:textId="77777777" w:rsidR="005433B8" w:rsidRDefault="005433B8"/>
    <w:p w14:paraId="21F3330E" w14:textId="77777777" w:rsidR="005433B8" w:rsidRDefault="005433B8"/>
    <w:p w14:paraId="67C87A6A" w14:textId="77777777" w:rsidR="005433B8" w:rsidRDefault="005433B8"/>
    <w:p w14:paraId="4297DCB2" w14:textId="77777777" w:rsidR="005433B8" w:rsidRDefault="005433B8"/>
    <w:p w14:paraId="5F8941BC" w14:textId="77777777" w:rsidR="005433B8" w:rsidRDefault="005433B8"/>
    <w:p w14:paraId="68339526" w14:textId="77777777" w:rsidR="005433B8" w:rsidRDefault="005433B8"/>
    <w:p w14:paraId="46DBEFE0" w14:textId="77777777" w:rsidR="005433B8" w:rsidRDefault="005433B8"/>
    <w:p w14:paraId="37BF3C85" w14:textId="77777777" w:rsidR="005433B8" w:rsidRDefault="005433B8">
      <w:pPr>
        <w:sectPr w:rsidR="005433B8" w:rsidSect="00964E26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009B47F2" w14:textId="77777777" w:rsidR="006B199E" w:rsidRDefault="006B199E"/>
    <w:p w14:paraId="03A5379F" w14:textId="69F52BFD" w:rsidR="005433B8" w:rsidRDefault="006B199E">
      <w:pPr>
        <w:rPr>
          <w:rFonts w:ascii="Calibri" w:hAnsi="Calibri" w:cs="Calibri"/>
        </w:rPr>
      </w:pPr>
      <w:r w:rsidRPr="006B199E">
        <w:rPr>
          <w:rFonts w:ascii="Calibri" w:hAnsi="Calibri" w:cs="Calibri"/>
        </w:rPr>
        <w:drawing>
          <wp:inline distT="0" distB="0" distL="0" distR="0" wp14:anchorId="7DA58A15" wp14:editId="52AF4D86">
            <wp:extent cx="6515665" cy="4694327"/>
            <wp:effectExtent l="0" t="0" r="0" b="0"/>
            <wp:docPr id="10524760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47603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15665" cy="4694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9A237" w14:textId="7F516FAF" w:rsidR="005433B8" w:rsidRDefault="005433B8">
      <w:r w:rsidRPr="005433B8">
        <w:rPr>
          <w:rFonts w:ascii="Calibri" w:hAnsi="Calibri" w:cs="Calibri"/>
          <w:b/>
          <w:bCs/>
        </w:rPr>
        <w:t>Figure S</w:t>
      </w:r>
      <w:r>
        <w:rPr>
          <w:rFonts w:ascii="Calibri" w:hAnsi="Calibri" w:cs="Calibri"/>
          <w:b/>
          <w:bCs/>
        </w:rPr>
        <w:t>3</w:t>
      </w:r>
      <w:r w:rsidRPr="005433B8">
        <w:rPr>
          <w:rFonts w:ascii="Calibri" w:hAnsi="Calibri" w:cs="Calibri"/>
          <w:b/>
          <w:bCs/>
        </w:rPr>
        <w:t>a-</w:t>
      </w:r>
      <w:r>
        <w:rPr>
          <w:rFonts w:ascii="Calibri" w:hAnsi="Calibri" w:cs="Calibri"/>
          <w:b/>
          <w:bCs/>
        </w:rPr>
        <w:t>3</w:t>
      </w:r>
      <w:r w:rsidRPr="005433B8">
        <w:rPr>
          <w:rFonts w:ascii="Calibri" w:hAnsi="Calibri" w:cs="Calibri"/>
          <w:b/>
          <w:bCs/>
        </w:rPr>
        <w:t>d</w:t>
      </w:r>
      <w:r w:rsidRPr="005433B8">
        <w:rPr>
          <w:rFonts w:ascii="Calibri" w:hAnsi="Calibri" w:cs="Calibri"/>
        </w:rPr>
        <w:t xml:space="preserve">. Adjusted pre-to-post session mean (CI) change scores over the study for VR Headset (VR) and Video intervention study participants according to session (per-protocol approach; </w:t>
      </w:r>
      <w:r w:rsidRPr="005433B8">
        <w:rPr>
          <w:rFonts w:ascii="Calibri" w:hAnsi="Calibri" w:cs="Calibri"/>
          <w:b/>
          <w:bCs/>
        </w:rPr>
        <w:t>S</w:t>
      </w:r>
      <w:r>
        <w:rPr>
          <w:rFonts w:ascii="Calibri" w:hAnsi="Calibri" w:cs="Calibri"/>
          <w:b/>
          <w:bCs/>
        </w:rPr>
        <w:t>3</w:t>
      </w:r>
      <w:r w:rsidRPr="005433B8">
        <w:rPr>
          <w:rFonts w:ascii="Calibri" w:hAnsi="Calibri" w:cs="Calibri"/>
          <w:b/>
          <w:bCs/>
        </w:rPr>
        <w:t>a</w:t>
      </w:r>
      <w:r w:rsidRPr="005433B8">
        <w:rPr>
          <w:rFonts w:ascii="Calibri" w:hAnsi="Calibri" w:cs="Calibri"/>
        </w:rPr>
        <w:t xml:space="preserve"> = Stress; </w:t>
      </w:r>
      <w:r w:rsidRPr="005433B8">
        <w:rPr>
          <w:rFonts w:ascii="Calibri" w:hAnsi="Calibri" w:cs="Calibri"/>
          <w:b/>
          <w:bCs/>
        </w:rPr>
        <w:t>S</w:t>
      </w:r>
      <w:r>
        <w:rPr>
          <w:rFonts w:ascii="Calibri" w:hAnsi="Calibri" w:cs="Calibri"/>
          <w:b/>
          <w:bCs/>
        </w:rPr>
        <w:t>3</w:t>
      </w:r>
      <w:r w:rsidRPr="005433B8">
        <w:rPr>
          <w:rFonts w:ascii="Calibri" w:hAnsi="Calibri" w:cs="Calibri"/>
          <w:b/>
          <w:bCs/>
        </w:rPr>
        <w:t>b</w:t>
      </w:r>
      <w:r w:rsidRPr="005433B8">
        <w:rPr>
          <w:rFonts w:ascii="Calibri" w:hAnsi="Calibri" w:cs="Calibri"/>
        </w:rPr>
        <w:t xml:space="preserve"> = Anxious; </w:t>
      </w:r>
      <w:r w:rsidRPr="005433B8">
        <w:rPr>
          <w:rFonts w:ascii="Calibri" w:hAnsi="Calibri" w:cs="Calibri"/>
          <w:b/>
          <w:bCs/>
        </w:rPr>
        <w:t>S</w:t>
      </w:r>
      <w:r>
        <w:rPr>
          <w:rFonts w:ascii="Calibri" w:hAnsi="Calibri" w:cs="Calibri"/>
          <w:b/>
          <w:bCs/>
        </w:rPr>
        <w:t>3</w:t>
      </w:r>
      <w:r w:rsidRPr="005433B8">
        <w:rPr>
          <w:rFonts w:ascii="Calibri" w:hAnsi="Calibri" w:cs="Calibri"/>
          <w:b/>
          <w:bCs/>
        </w:rPr>
        <w:t>c</w:t>
      </w:r>
      <w:r w:rsidRPr="005433B8">
        <w:rPr>
          <w:rFonts w:ascii="Calibri" w:hAnsi="Calibri" w:cs="Calibri"/>
        </w:rPr>
        <w:t xml:space="preserve"> = Calm; </w:t>
      </w:r>
      <w:r w:rsidRPr="005433B8">
        <w:rPr>
          <w:rFonts w:ascii="Calibri" w:hAnsi="Calibri" w:cs="Calibri"/>
          <w:b/>
          <w:bCs/>
        </w:rPr>
        <w:t>S</w:t>
      </w:r>
      <w:r>
        <w:rPr>
          <w:rFonts w:ascii="Calibri" w:hAnsi="Calibri" w:cs="Calibri"/>
          <w:b/>
          <w:bCs/>
        </w:rPr>
        <w:t>3</w:t>
      </w:r>
      <w:r w:rsidRPr="005433B8">
        <w:rPr>
          <w:rFonts w:ascii="Calibri" w:hAnsi="Calibri" w:cs="Calibri"/>
          <w:b/>
          <w:bCs/>
        </w:rPr>
        <w:t>d</w:t>
      </w:r>
      <w:r w:rsidRPr="005433B8">
        <w:rPr>
          <w:rFonts w:ascii="Calibri" w:hAnsi="Calibri" w:cs="Calibri"/>
        </w:rPr>
        <w:t xml:space="preserve"> = Happy). </w:t>
      </w:r>
      <w:r w:rsidR="00421940" w:rsidRPr="00421940">
        <w:rPr>
          <w:rFonts w:ascii="Calibri" w:hAnsi="Calibri" w:cs="Calibri"/>
        </w:rPr>
        <w:t>Value labels represent mean values. Error bars are 95% confidence intervals.</w:t>
      </w:r>
      <w:r w:rsidR="00421940">
        <w:rPr>
          <w:rFonts w:ascii="Calibri" w:hAnsi="Calibri" w:cs="Calibri"/>
        </w:rPr>
        <w:t xml:space="preserve"> </w:t>
      </w:r>
      <w:r w:rsidRPr="005433B8">
        <w:rPr>
          <w:rFonts w:ascii="Calibri" w:hAnsi="Calibri" w:cs="Calibri"/>
        </w:rPr>
        <w:t>Asterisks indicate significant differences between study conditions: *p &lt; 0.05, **p &lt; 0.01, ***p &lt; 0.001.</w:t>
      </w:r>
    </w:p>
    <w:sectPr w:rsidR="005433B8" w:rsidSect="005433B8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B98FA" w14:textId="77777777" w:rsidR="00964E26" w:rsidRDefault="00964E26" w:rsidP="00964E26">
      <w:pPr>
        <w:spacing w:after="0" w:line="240" w:lineRule="auto"/>
      </w:pPr>
      <w:r>
        <w:separator/>
      </w:r>
    </w:p>
  </w:endnote>
  <w:endnote w:type="continuationSeparator" w:id="0">
    <w:p w14:paraId="65316934" w14:textId="77777777" w:rsidR="00964E26" w:rsidRDefault="00964E26" w:rsidP="00964E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90349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0882A3" w14:textId="6A48103C" w:rsidR="00964E26" w:rsidRDefault="00964E2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C7B1FB5" w14:textId="77777777" w:rsidR="00964E26" w:rsidRDefault="00964E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EB36D" w14:textId="77777777" w:rsidR="00964E26" w:rsidRDefault="00964E26" w:rsidP="00964E26">
      <w:pPr>
        <w:spacing w:after="0" w:line="240" w:lineRule="auto"/>
      </w:pPr>
      <w:r>
        <w:separator/>
      </w:r>
    </w:p>
  </w:footnote>
  <w:footnote w:type="continuationSeparator" w:id="0">
    <w:p w14:paraId="7D3E4E16" w14:textId="77777777" w:rsidR="00964E26" w:rsidRDefault="00964E26" w:rsidP="00964E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DF8"/>
    <w:rsid w:val="00076CCE"/>
    <w:rsid w:val="002B5EE9"/>
    <w:rsid w:val="00316325"/>
    <w:rsid w:val="00421940"/>
    <w:rsid w:val="004F0DF8"/>
    <w:rsid w:val="005433B8"/>
    <w:rsid w:val="006B199E"/>
    <w:rsid w:val="00964E26"/>
    <w:rsid w:val="00A250FD"/>
    <w:rsid w:val="00AD1E65"/>
    <w:rsid w:val="00C21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397FDD62"/>
  <w15:chartTrackingRefBased/>
  <w15:docId w15:val="{E5389216-1887-4D54-8800-2E8CA3379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0D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0D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0D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0D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0D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0D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0D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0D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0D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0D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F0D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0D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0D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0D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0D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0D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0D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0D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0D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0D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0D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0D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0D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0D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0D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0D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0D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0D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0DF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64E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4E26"/>
  </w:style>
  <w:style w:type="paragraph" w:styleId="Footer">
    <w:name w:val="footer"/>
    <w:basedOn w:val="Normal"/>
    <w:link w:val="FooterChar"/>
    <w:uiPriority w:val="99"/>
    <w:unhideWhenUsed/>
    <w:rsid w:val="00964E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4E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Jared</dc:creator>
  <cp:keywords/>
  <dc:description/>
  <cp:lastModifiedBy>Smith, Jared</cp:lastModifiedBy>
  <cp:revision>9</cp:revision>
  <dcterms:created xsi:type="dcterms:W3CDTF">2025-11-11T13:49:00Z</dcterms:created>
  <dcterms:modified xsi:type="dcterms:W3CDTF">2025-11-11T16:26:00Z</dcterms:modified>
</cp:coreProperties>
</file>