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EF31E">
      <w:pPr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Table S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sz w:val="22"/>
          <w:szCs w:val="22"/>
        </w:rPr>
        <w:t>. Stepwise cohort derivation counts (MIMIC-IV derivation cohort).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178"/>
        <w:gridCol w:w="2044"/>
        <w:gridCol w:w="2061"/>
      </w:tblGrid>
      <w:tr w14:paraId="1AAE6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shd w:val="clear" w:color="auto" w:fill="auto"/>
            <w:vAlign w:val="top"/>
          </w:tcPr>
          <w:p w14:paraId="78042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Cohort block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4A5A2A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Step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218E4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2A774E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</w:tr>
      <w:tr w14:paraId="45547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123BE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Derivation (MIMIC-IV)</w:t>
            </w:r>
          </w:p>
        </w:tc>
        <w:tc>
          <w:tcPr>
            <w:tcW w:w="2340" w:type="dxa"/>
          </w:tcPr>
          <w:p w14:paraId="356850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Adult first ICU stay (first ICU admission)</w:t>
            </w:r>
          </w:p>
        </w:tc>
        <w:tc>
          <w:tcPr>
            <w:tcW w:w="2340" w:type="dxa"/>
          </w:tcPr>
          <w:p w14:paraId="40A807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65366</w:t>
            </w:r>
          </w:p>
        </w:tc>
        <w:tc>
          <w:tcPr>
            <w:tcW w:w="2340" w:type="dxa"/>
          </w:tcPr>
          <w:p w14:paraId="102760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AB80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3795CB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Derivation (MIMIC-IV)</w:t>
            </w:r>
          </w:p>
        </w:tc>
        <w:tc>
          <w:tcPr>
            <w:tcW w:w="2340" w:type="dxa"/>
          </w:tcPr>
          <w:p w14:paraId="567B7E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Eligible at 12h landmark (alive ≥12h)</w:t>
            </w:r>
          </w:p>
        </w:tc>
        <w:tc>
          <w:tcPr>
            <w:tcW w:w="2340" w:type="dxa"/>
          </w:tcPr>
          <w:p w14:paraId="7CB0AB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64616</w:t>
            </w:r>
          </w:p>
        </w:tc>
        <w:tc>
          <w:tcPr>
            <w:tcW w:w="2340" w:type="dxa"/>
          </w:tcPr>
          <w:p w14:paraId="0C1C7F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BA6A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3C2D9D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12h landmark</w:t>
            </w:r>
          </w:p>
        </w:tc>
        <w:tc>
          <w:tcPr>
            <w:tcW w:w="2340" w:type="dxa"/>
          </w:tcPr>
          <w:p w14:paraId="3E4093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AG_first_12h available (0-12h)</w:t>
            </w:r>
          </w:p>
        </w:tc>
        <w:tc>
          <w:tcPr>
            <w:tcW w:w="2340" w:type="dxa"/>
          </w:tcPr>
          <w:p w14:paraId="57FD1A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57220</w:t>
            </w:r>
          </w:p>
        </w:tc>
        <w:tc>
          <w:tcPr>
            <w:tcW w:w="2340" w:type="dxa"/>
          </w:tcPr>
          <w:p w14:paraId="56C6E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7249</w:t>
            </w:r>
          </w:p>
        </w:tc>
      </w:tr>
      <w:tr w14:paraId="2B959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50EB9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12h landmark</w:t>
            </w:r>
          </w:p>
        </w:tc>
        <w:tc>
          <w:tcPr>
            <w:tcW w:w="2340" w:type="dxa"/>
          </w:tcPr>
          <w:p w14:paraId="7E3DA2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Fully adjusted (M3) complete-case</w:t>
            </w:r>
          </w:p>
        </w:tc>
        <w:tc>
          <w:tcPr>
            <w:tcW w:w="2340" w:type="dxa"/>
          </w:tcPr>
          <w:p w14:paraId="512873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55273</w:t>
            </w:r>
          </w:p>
        </w:tc>
        <w:tc>
          <w:tcPr>
            <w:tcW w:w="2340" w:type="dxa"/>
          </w:tcPr>
          <w:p w14:paraId="15D64B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7005</w:t>
            </w:r>
          </w:p>
        </w:tc>
      </w:tr>
      <w:tr w14:paraId="755AF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5667A3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Derivation (MIMIC-IV)</w:t>
            </w:r>
          </w:p>
        </w:tc>
        <w:tc>
          <w:tcPr>
            <w:tcW w:w="2340" w:type="dxa"/>
          </w:tcPr>
          <w:p w14:paraId="290A4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Eligible at 24h landmark (alive ≥24h)</w:t>
            </w:r>
          </w:p>
        </w:tc>
        <w:tc>
          <w:tcPr>
            <w:tcW w:w="2340" w:type="dxa"/>
          </w:tcPr>
          <w:p w14:paraId="03AF31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63960</w:t>
            </w:r>
          </w:p>
        </w:tc>
        <w:tc>
          <w:tcPr>
            <w:tcW w:w="2340" w:type="dxa"/>
          </w:tcPr>
          <w:p w14:paraId="3C6ABD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7BB7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60C725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24h landmark</w:t>
            </w:r>
          </w:p>
        </w:tc>
        <w:tc>
          <w:tcPr>
            <w:tcW w:w="2340" w:type="dxa"/>
          </w:tcPr>
          <w:p w14:paraId="2262EB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AGmax_24h available (0-24h)</w:t>
            </w:r>
          </w:p>
        </w:tc>
        <w:tc>
          <w:tcPr>
            <w:tcW w:w="2340" w:type="dxa"/>
          </w:tcPr>
          <w:p w14:paraId="69B759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62292</w:t>
            </w:r>
          </w:p>
        </w:tc>
        <w:tc>
          <w:tcPr>
            <w:tcW w:w="2340" w:type="dxa"/>
          </w:tcPr>
          <w:p w14:paraId="4B5E0C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7207</w:t>
            </w:r>
          </w:p>
        </w:tc>
      </w:tr>
      <w:tr w14:paraId="24C9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7F2979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24h landmark</w:t>
            </w:r>
          </w:p>
        </w:tc>
        <w:tc>
          <w:tcPr>
            <w:tcW w:w="2340" w:type="dxa"/>
          </w:tcPr>
          <w:p w14:paraId="6BD60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Fully adjusted (M3) complete-case</w:t>
            </w:r>
          </w:p>
        </w:tc>
        <w:tc>
          <w:tcPr>
            <w:tcW w:w="2340" w:type="dxa"/>
          </w:tcPr>
          <w:p w14:paraId="1DD324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60252</w:t>
            </w:r>
          </w:p>
        </w:tc>
        <w:tc>
          <w:tcPr>
            <w:tcW w:w="2340" w:type="dxa"/>
          </w:tcPr>
          <w:p w14:paraId="3BB91E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6986</w:t>
            </w:r>
          </w:p>
        </w:tc>
      </w:tr>
      <w:tr w14:paraId="20EE3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79DA8D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Albumin-adjusted (cAG) subset</w:t>
            </w:r>
          </w:p>
        </w:tc>
        <w:tc>
          <w:tcPr>
            <w:tcW w:w="2340" w:type="dxa"/>
          </w:tcPr>
          <w:p w14:paraId="48CE1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 available for cAG (within 24h)</w:t>
            </w:r>
          </w:p>
        </w:tc>
        <w:tc>
          <w:tcPr>
            <w:tcW w:w="2340" w:type="dxa"/>
          </w:tcPr>
          <w:p w14:paraId="399382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17163</w:t>
            </w:r>
          </w:p>
        </w:tc>
        <w:tc>
          <w:tcPr>
            <w:tcW w:w="2340" w:type="dxa"/>
          </w:tcPr>
          <w:p w14:paraId="703CE5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3089</w:t>
            </w:r>
          </w:p>
        </w:tc>
      </w:tr>
      <w:tr w14:paraId="01964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</w:tcPr>
          <w:p w14:paraId="78185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Albumin-adjusted (cAG) subset</w:t>
            </w:r>
          </w:p>
        </w:tc>
        <w:tc>
          <w:tcPr>
            <w:tcW w:w="2340" w:type="dxa"/>
          </w:tcPr>
          <w:p w14:paraId="49E3D5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Fully adjusted (M3) complete-case</w:t>
            </w:r>
          </w:p>
        </w:tc>
        <w:tc>
          <w:tcPr>
            <w:tcW w:w="2340" w:type="dxa"/>
          </w:tcPr>
          <w:p w14:paraId="653472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16797</w:t>
            </w:r>
          </w:p>
        </w:tc>
        <w:tc>
          <w:tcPr>
            <w:tcW w:w="2340" w:type="dxa"/>
          </w:tcPr>
          <w:p w14:paraId="1FB21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2991</w:t>
            </w:r>
          </w:p>
        </w:tc>
      </w:tr>
    </w:tbl>
    <w:p w14:paraId="008B1071">
      <w:pPr>
        <w:rPr>
          <w:rFonts w:hint="default" w:ascii="Times New Roman" w:hAnsi="Times New Roman" w:cs="Times New Roman"/>
          <w:sz w:val="22"/>
          <w:szCs w:val="22"/>
        </w:rPr>
      </w:pPr>
      <w:r>
        <w:t>Notes: Adult first ICU stays. Landmark cohorts required survival to the landmark time and ≥1 qualifying anion gap measurement within the exposure window. Events denote 28-day all-cause deaths after the landmark. Complete-case counts reflect availability of all Model 3 covariates.</w:t>
      </w:r>
    </w:p>
    <w:p w14:paraId="74B4F824">
      <w:pPr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Table S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2"/>
          <w:szCs w:val="22"/>
        </w:rPr>
        <w:t>. Missingness of prespecified variables in the 12-h landmark cohort.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2798"/>
        <w:gridCol w:w="2814"/>
      </w:tblGrid>
      <w:tr w14:paraId="0C9CA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shd w:val="clear" w:color="auto" w:fill="auto"/>
            <w:vAlign w:val="top"/>
          </w:tcPr>
          <w:p w14:paraId="726A55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3120" w:type="dxa"/>
            <w:shd w:val="clear" w:color="auto" w:fill="auto"/>
            <w:vAlign w:val="top"/>
          </w:tcPr>
          <w:p w14:paraId="5A7BC1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Missing_n</w:t>
            </w:r>
          </w:p>
        </w:tc>
        <w:tc>
          <w:tcPr>
            <w:tcW w:w="3120" w:type="dxa"/>
            <w:shd w:val="clear" w:color="auto" w:fill="auto"/>
            <w:vAlign w:val="top"/>
          </w:tcPr>
          <w:p w14:paraId="77B494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Missing_%</w:t>
            </w:r>
          </w:p>
        </w:tc>
      </w:tr>
      <w:tr w14:paraId="16357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219BC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3120" w:type="dxa"/>
          </w:tcPr>
          <w:p w14:paraId="2803E1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20" w:type="dxa"/>
          </w:tcPr>
          <w:p w14:paraId="60F262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3E0EB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1A2FDE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3120" w:type="dxa"/>
          </w:tcPr>
          <w:p w14:paraId="704420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20" w:type="dxa"/>
          </w:tcPr>
          <w:p w14:paraId="02349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656F0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401E5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sofa_24h</w:t>
            </w:r>
          </w:p>
        </w:tc>
        <w:tc>
          <w:tcPr>
            <w:tcW w:w="3120" w:type="dxa"/>
          </w:tcPr>
          <w:p w14:paraId="77AAB9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20" w:type="dxa"/>
          </w:tcPr>
          <w:p w14:paraId="338A09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23504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532728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gcs_24h</w:t>
            </w:r>
          </w:p>
        </w:tc>
        <w:tc>
          <w:tcPr>
            <w:tcW w:w="3120" w:type="dxa"/>
          </w:tcPr>
          <w:p w14:paraId="55B1C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3120" w:type="dxa"/>
          </w:tcPr>
          <w:p w14:paraId="387861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0.3%</w:t>
            </w:r>
          </w:p>
        </w:tc>
      </w:tr>
      <w:tr w14:paraId="1213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764D3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charlson</w:t>
            </w:r>
          </w:p>
        </w:tc>
        <w:tc>
          <w:tcPr>
            <w:tcW w:w="3120" w:type="dxa"/>
          </w:tcPr>
          <w:p w14:paraId="0B7075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20" w:type="dxa"/>
          </w:tcPr>
          <w:p w14:paraId="02CC25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7270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756705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creatinine_min</w:t>
            </w:r>
          </w:p>
        </w:tc>
        <w:tc>
          <w:tcPr>
            <w:tcW w:w="3120" w:type="dxa"/>
          </w:tcPr>
          <w:p w14:paraId="2C7B50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120" w:type="dxa"/>
          </w:tcPr>
          <w:p w14:paraId="402B66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025BB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1ED160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bun_min</w:t>
            </w:r>
          </w:p>
        </w:tc>
        <w:tc>
          <w:tcPr>
            <w:tcW w:w="3120" w:type="dxa"/>
          </w:tcPr>
          <w:p w14:paraId="571436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120" w:type="dxa"/>
          </w:tcPr>
          <w:p w14:paraId="52B6A5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14:paraId="044EB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308C0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wbc_min</w:t>
            </w:r>
          </w:p>
        </w:tc>
        <w:tc>
          <w:tcPr>
            <w:tcW w:w="3120" w:type="dxa"/>
          </w:tcPr>
          <w:p w14:paraId="5D572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3120" w:type="dxa"/>
          </w:tcPr>
          <w:p w14:paraId="7C72A9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14:paraId="33B03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427C74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platelets_min</w:t>
            </w:r>
          </w:p>
        </w:tc>
        <w:tc>
          <w:tcPr>
            <w:tcW w:w="3120" w:type="dxa"/>
          </w:tcPr>
          <w:p w14:paraId="088619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3120" w:type="dxa"/>
          </w:tcPr>
          <w:p w14:paraId="3B3D3E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14:paraId="735A3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25FCFD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hint="eastAsia" w:eastAsia="宋体" w:cs="Times New Roman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p_mean</w:t>
            </w:r>
          </w:p>
        </w:tc>
        <w:tc>
          <w:tcPr>
            <w:tcW w:w="3120" w:type="dxa"/>
          </w:tcPr>
          <w:p w14:paraId="1B409C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3120" w:type="dxa"/>
          </w:tcPr>
          <w:p w14:paraId="5C7C42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14:paraId="48A1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624D09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heart_rate_mean</w:t>
            </w:r>
          </w:p>
        </w:tc>
        <w:tc>
          <w:tcPr>
            <w:tcW w:w="3120" w:type="dxa"/>
          </w:tcPr>
          <w:p w14:paraId="7B206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3120" w:type="dxa"/>
          </w:tcPr>
          <w:p w14:paraId="470C3E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0.1%</w:t>
            </w:r>
          </w:p>
        </w:tc>
      </w:tr>
      <w:tr w14:paraId="6E9E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7154A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resp_rate_mean</w:t>
            </w:r>
          </w:p>
        </w:tc>
        <w:tc>
          <w:tcPr>
            <w:tcW w:w="3120" w:type="dxa"/>
          </w:tcPr>
          <w:p w14:paraId="12A4E1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3120" w:type="dxa"/>
          </w:tcPr>
          <w:p w14:paraId="3DE416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14:paraId="744B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59D5C7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temperature_mean</w:t>
            </w:r>
          </w:p>
        </w:tc>
        <w:tc>
          <w:tcPr>
            <w:tcW w:w="3120" w:type="dxa"/>
          </w:tcPr>
          <w:p w14:paraId="3CDDB1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1660</w:t>
            </w:r>
          </w:p>
        </w:tc>
        <w:tc>
          <w:tcPr>
            <w:tcW w:w="3120" w:type="dxa"/>
          </w:tcPr>
          <w:p w14:paraId="030AC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2.9%</w:t>
            </w:r>
          </w:p>
        </w:tc>
      </w:tr>
      <w:tr w14:paraId="06617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1B8AF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spo2_mean</w:t>
            </w:r>
          </w:p>
        </w:tc>
        <w:tc>
          <w:tcPr>
            <w:tcW w:w="3120" w:type="dxa"/>
          </w:tcPr>
          <w:p w14:paraId="1ED255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3120" w:type="dxa"/>
          </w:tcPr>
          <w:p w14:paraId="1D256C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14:paraId="1CDA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4F1FC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albumin_min</w:t>
            </w:r>
          </w:p>
        </w:tc>
        <w:tc>
          <w:tcPr>
            <w:tcW w:w="3120" w:type="dxa"/>
          </w:tcPr>
          <w:p w14:paraId="2829CA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34021</w:t>
            </w:r>
          </w:p>
        </w:tc>
        <w:tc>
          <w:tcPr>
            <w:tcW w:w="3120" w:type="dxa"/>
          </w:tcPr>
          <w:p w14:paraId="59B741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59.5%</w:t>
            </w:r>
          </w:p>
        </w:tc>
      </w:tr>
      <w:tr w14:paraId="7E166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</w:tcPr>
          <w:p w14:paraId="2837E3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lactate_24h_max</w:t>
            </w:r>
          </w:p>
        </w:tc>
        <w:tc>
          <w:tcPr>
            <w:tcW w:w="3120" w:type="dxa"/>
          </w:tcPr>
          <w:p w14:paraId="71E4C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24187</w:t>
            </w:r>
          </w:p>
        </w:tc>
        <w:tc>
          <w:tcPr>
            <w:tcW w:w="3120" w:type="dxa"/>
          </w:tcPr>
          <w:p w14:paraId="2160B2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42.3%</w:t>
            </w:r>
          </w:p>
        </w:tc>
      </w:tr>
    </w:tbl>
    <w:p w14:paraId="48C4B4D9">
      <w:pPr>
        <w:rPr>
          <w:rFonts w:hint="default" w:ascii="Times New Roman" w:hAnsi="Times New Roman" w:cs="Times New Roman"/>
          <w:sz w:val="22"/>
          <w:szCs w:val="22"/>
        </w:rPr>
      </w:pPr>
      <w:r>
        <w:t>Missingness was calculated as missing_n / N in the 12-h landmark cohort.</w:t>
      </w:r>
    </w:p>
    <w:p w14:paraId="065BF2F2">
      <w:pPr>
        <w:rPr>
          <w:rFonts w:hint="default" w:ascii="Times New Roman" w:hAnsi="Times New Roman" w:cs="Times New Roman"/>
          <w:sz w:val="22"/>
          <w:szCs w:val="22"/>
        </w:rPr>
      </w:pPr>
    </w:p>
    <w:p w14:paraId="135C9C31">
      <w:pPr>
        <w:jc w:val="left"/>
        <w:rPr>
          <w:rFonts w:hint="default" w:ascii="Times New Roman" w:hAnsi="Times New Roman" w:cs="Times New Roman"/>
          <w:b/>
          <w:sz w:val="22"/>
          <w:szCs w:val="22"/>
        </w:rPr>
      </w:pPr>
    </w:p>
    <w:p w14:paraId="0917C3AA">
      <w:pPr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Table S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 w:val="22"/>
          <w:szCs w:val="22"/>
        </w:rPr>
        <w:t>. Robustness across stepwise logistic regression models in the 12-h landmark cohort.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1495"/>
        <w:gridCol w:w="1530"/>
        <w:gridCol w:w="1572"/>
        <w:gridCol w:w="1543"/>
      </w:tblGrid>
      <w:tr w14:paraId="77A2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shd w:val="clear" w:color="auto" w:fill="auto"/>
            <w:vAlign w:val="top"/>
          </w:tcPr>
          <w:p w14:paraId="61652D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09B01C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 OR (95% CI)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6B5479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 (Q4 vs Q1)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4E29F5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Trend OR per quartile (95% CI)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52629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 (trend)</w:t>
            </w:r>
          </w:p>
        </w:tc>
      </w:tr>
      <w:tr w14:paraId="7F1D3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60B95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872" w:type="dxa"/>
          </w:tcPr>
          <w:p w14:paraId="14FA60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4.76 (4.42, 5.13)</w:t>
            </w:r>
          </w:p>
        </w:tc>
        <w:tc>
          <w:tcPr>
            <w:tcW w:w="1872" w:type="dxa"/>
          </w:tcPr>
          <w:p w14:paraId="43ACA1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872" w:type="dxa"/>
          </w:tcPr>
          <w:p w14:paraId="34742A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1.66 (1.62, 1.70)</w:t>
            </w:r>
          </w:p>
        </w:tc>
        <w:tc>
          <w:tcPr>
            <w:tcW w:w="1872" w:type="dxa"/>
          </w:tcPr>
          <w:p w14:paraId="3990E6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4A9B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144699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 (age, sex)</w:t>
            </w:r>
          </w:p>
        </w:tc>
        <w:tc>
          <w:tcPr>
            <w:tcW w:w="1872" w:type="dxa"/>
          </w:tcPr>
          <w:p w14:paraId="6C2572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4.77 (4.41, 5.15)</w:t>
            </w:r>
          </w:p>
        </w:tc>
        <w:tc>
          <w:tcPr>
            <w:tcW w:w="1872" w:type="dxa"/>
          </w:tcPr>
          <w:p w14:paraId="06BEDD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872" w:type="dxa"/>
          </w:tcPr>
          <w:p w14:paraId="5A15C0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1.67 (1.63, 1.71)</w:t>
            </w:r>
          </w:p>
        </w:tc>
        <w:tc>
          <w:tcPr>
            <w:tcW w:w="1872" w:type="dxa"/>
          </w:tcPr>
          <w:p w14:paraId="791FDA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C34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1637F5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 (+SOFA,GCS,Charlson)</w:t>
            </w:r>
          </w:p>
        </w:tc>
        <w:tc>
          <w:tcPr>
            <w:tcW w:w="1872" w:type="dxa"/>
          </w:tcPr>
          <w:p w14:paraId="2C5821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2.84 (2.61, 3.09)</w:t>
            </w:r>
          </w:p>
        </w:tc>
        <w:tc>
          <w:tcPr>
            <w:tcW w:w="1872" w:type="dxa"/>
          </w:tcPr>
          <w:p w14:paraId="6FBD7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872" w:type="dxa"/>
          </w:tcPr>
          <w:p w14:paraId="1DF732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1.39 (1.35, 1.42)</w:t>
            </w:r>
          </w:p>
        </w:tc>
        <w:tc>
          <w:tcPr>
            <w:tcW w:w="1872" w:type="dxa"/>
          </w:tcPr>
          <w:p w14:paraId="17658C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60493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3A6AA3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 (+labs/vitals)</w:t>
            </w:r>
          </w:p>
        </w:tc>
        <w:tc>
          <w:tcPr>
            <w:tcW w:w="1872" w:type="dxa"/>
          </w:tcPr>
          <w:p w14:paraId="3C8CAF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2.32 (2.11, 2.54)</w:t>
            </w:r>
          </w:p>
        </w:tc>
        <w:tc>
          <w:tcPr>
            <w:tcW w:w="1872" w:type="dxa"/>
          </w:tcPr>
          <w:p w14:paraId="304432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872" w:type="dxa"/>
          </w:tcPr>
          <w:p w14:paraId="16E77C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1.30 (1.26, 1.34)</w:t>
            </w:r>
          </w:p>
        </w:tc>
        <w:tc>
          <w:tcPr>
            <w:tcW w:w="1872" w:type="dxa"/>
          </w:tcPr>
          <w:p w14:paraId="05B84E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35C54A04">
      <w:pPr>
        <w:rPr>
          <w:rFonts w:hint="default" w:ascii="Times New Roman" w:hAnsi="Times New Roman" w:cs="Times New Roman"/>
          <w:sz w:val="22"/>
          <w:szCs w:val="22"/>
        </w:rPr>
      </w:pPr>
      <w:r>
        <w:t>Outcome was 28-day all-cause mortality from the 12-h landmark. Model 1 adjusted for age and sex; Model 2 additionally adjusted for SOFA score, minimum GCS, and Charlson Comorbidity Index; Model 3 further adjusted for 0–24 h physiologic and laboratory summaries. Quartiles were defined within the LM12h cohort (Q1 reference).</w:t>
      </w:r>
    </w:p>
    <w:p w14:paraId="726F3497">
      <w:pPr>
        <w:rPr>
          <w:rFonts w:hint="default" w:ascii="Times New Roman" w:hAnsi="Times New Roman" w:cs="Times New Roman"/>
          <w:sz w:val="22"/>
          <w:szCs w:val="22"/>
        </w:rPr>
      </w:pPr>
    </w:p>
    <w:p w14:paraId="44E33EEC">
      <w:pPr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Table S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 w:val="22"/>
          <w:szCs w:val="22"/>
        </w:rPr>
        <w:t>. Subgroup-specific associations (Q4 vs Q1) and interaction p values in the 12-h landmark cohort (Model 3).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331"/>
        <w:gridCol w:w="1342"/>
        <w:gridCol w:w="1365"/>
        <w:gridCol w:w="1362"/>
        <w:gridCol w:w="1537"/>
      </w:tblGrid>
      <w:tr w14:paraId="0C1F6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shd w:val="clear" w:color="auto" w:fill="auto"/>
            <w:vAlign w:val="top"/>
          </w:tcPr>
          <w:p w14:paraId="19DABD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Subgroup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73915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Level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0A21BD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25501A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50278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 OR (95% CI)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6A2E90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p_interaction</w:t>
            </w:r>
          </w:p>
        </w:tc>
      </w:tr>
      <w:tr w14:paraId="73F25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DCDE2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 ≥65</w:t>
            </w:r>
          </w:p>
        </w:tc>
        <w:tc>
          <w:tcPr>
            <w:tcW w:w="1560" w:type="dxa"/>
          </w:tcPr>
          <w:p w14:paraId="04BBA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60" w:type="dxa"/>
          </w:tcPr>
          <w:p w14:paraId="734EAE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26836</w:t>
            </w:r>
          </w:p>
        </w:tc>
        <w:tc>
          <w:tcPr>
            <w:tcW w:w="1560" w:type="dxa"/>
          </w:tcPr>
          <w:p w14:paraId="4F9882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2236</w:t>
            </w:r>
          </w:p>
        </w:tc>
        <w:tc>
          <w:tcPr>
            <w:tcW w:w="1560" w:type="dxa"/>
          </w:tcPr>
          <w:p w14:paraId="48A7B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2.088 (1.784, 2.445)</w:t>
            </w:r>
          </w:p>
        </w:tc>
        <w:tc>
          <w:tcPr>
            <w:tcW w:w="1560" w:type="dxa"/>
          </w:tcPr>
          <w:p w14:paraId="252CAD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0.102</w:t>
            </w:r>
          </w:p>
        </w:tc>
      </w:tr>
      <w:tr w14:paraId="0179E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672E7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 ≥65</w:t>
            </w:r>
          </w:p>
        </w:tc>
        <w:tc>
          <w:tcPr>
            <w:tcW w:w="1560" w:type="dxa"/>
          </w:tcPr>
          <w:p w14:paraId="35567E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60" w:type="dxa"/>
          </w:tcPr>
          <w:p w14:paraId="701DD6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28437</w:t>
            </w:r>
          </w:p>
        </w:tc>
        <w:tc>
          <w:tcPr>
            <w:tcW w:w="1560" w:type="dxa"/>
          </w:tcPr>
          <w:p w14:paraId="4ED74F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4769</w:t>
            </w:r>
          </w:p>
        </w:tc>
        <w:tc>
          <w:tcPr>
            <w:tcW w:w="1560" w:type="dxa"/>
          </w:tcPr>
          <w:p w14:paraId="6B4C3E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2.285 (2.036, 2.563)</w:t>
            </w:r>
          </w:p>
        </w:tc>
        <w:tc>
          <w:tcPr>
            <w:tcW w:w="1560" w:type="dxa"/>
          </w:tcPr>
          <w:p w14:paraId="01758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0.102</w:t>
            </w:r>
          </w:p>
        </w:tc>
      </w:tr>
      <w:tr w14:paraId="62F7A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010D57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560" w:type="dxa"/>
          </w:tcPr>
          <w:p w14:paraId="070E7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60" w:type="dxa"/>
          </w:tcPr>
          <w:p w14:paraId="41528C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23983</w:t>
            </w:r>
          </w:p>
        </w:tc>
        <w:tc>
          <w:tcPr>
            <w:tcW w:w="1560" w:type="dxa"/>
          </w:tcPr>
          <w:p w14:paraId="2795CC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3237</w:t>
            </w:r>
          </w:p>
        </w:tc>
        <w:tc>
          <w:tcPr>
            <w:tcW w:w="1560" w:type="dxa"/>
          </w:tcPr>
          <w:p w14:paraId="3DA776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1.966 (1.716, 2.253)</w:t>
            </w:r>
          </w:p>
        </w:tc>
        <w:tc>
          <w:tcPr>
            <w:tcW w:w="1560" w:type="dxa"/>
          </w:tcPr>
          <w:p w14:paraId="1F9394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0.003</w:t>
            </w:r>
          </w:p>
        </w:tc>
      </w:tr>
      <w:tr w14:paraId="33ED7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D5125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560" w:type="dxa"/>
          </w:tcPr>
          <w:p w14:paraId="268613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60" w:type="dxa"/>
          </w:tcPr>
          <w:p w14:paraId="2035D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31290</w:t>
            </w:r>
          </w:p>
        </w:tc>
        <w:tc>
          <w:tcPr>
            <w:tcW w:w="1560" w:type="dxa"/>
          </w:tcPr>
          <w:p w14:paraId="4305D6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3768</w:t>
            </w:r>
          </w:p>
        </w:tc>
        <w:tc>
          <w:tcPr>
            <w:tcW w:w="1560" w:type="dxa"/>
          </w:tcPr>
          <w:p w14:paraId="6CB28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2.634 (2.322, 2.989)</w:t>
            </w:r>
          </w:p>
        </w:tc>
        <w:tc>
          <w:tcPr>
            <w:tcW w:w="1560" w:type="dxa"/>
          </w:tcPr>
          <w:p w14:paraId="54CF22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0.003</w:t>
            </w:r>
          </w:p>
        </w:tc>
      </w:tr>
      <w:tr w14:paraId="3FF56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71970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SOFA ≥ median (4.0)</w:t>
            </w:r>
          </w:p>
        </w:tc>
        <w:tc>
          <w:tcPr>
            <w:tcW w:w="1560" w:type="dxa"/>
          </w:tcPr>
          <w:p w14:paraId="787F2F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60" w:type="dxa"/>
          </w:tcPr>
          <w:p w14:paraId="47D509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26865</w:t>
            </w:r>
          </w:p>
        </w:tc>
        <w:tc>
          <w:tcPr>
            <w:tcW w:w="1560" w:type="dxa"/>
          </w:tcPr>
          <w:p w14:paraId="62A0B1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1543</w:t>
            </w:r>
          </w:p>
        </w:tc>
        <w:tc>
          <w:tcPr>
            <w:tcW w:w="1560" w:type="dxa"/>
          </w:tcPr>
          <w:p w14:paraId="74065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1.743 (1.446, 2.101)</w:t>
            </w:r>
          </w:p>
        </w:tc>
        <w:tc>
          <w:tcPr>
            <w:tcW w:w="1560" w:type="dxa"/>
          </w:tcPr>
          <w:p w14:paraId="73A2D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4795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63A913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SOFA ≥ median (4.0)</w:t>
            </w:r>
          </w:p>
        </w:tc>
        <w:tc>
          <w:tcPr>
            <w:tcW w:w="1560" w:type="dxa"/>
          </w:tcPr>
          <w:p w14:paraId="139669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60" w:type="dxa"/>
          </w:tcPr>
          <w:p w14:paraId="2620EC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28408</w:t>
            </w:r>
          </w:p>
        </w:tc>
        <w:tc>
          <w:tcPr>
            <w:tcW w:w="1560" w:type="dxa"/>
          </w:tcPr>
          <w:p w14:paraId="25EEDF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5462</w:t>
            </w:r>
          </w:p>
        </w:tc>
        <w:tc>
          <w:tcPr>
            <w:tcW w:w="1560" w:type="dxa"/>
          </w:tcPr>
          <w:p w14:paraId="19E68A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2.586 (2.322, 2.880)</w:t>
            </w:r>
          </w:p>
        </w:tc>
        <w:tc>
          <w:tcPr>
            <w:tcW w:w="1560" w:type="dxa"/>
          </w:tcPr>
          <w:p w14:paraId="1F678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76C79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4D59DC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Creatinine_min ≥1.5 mg/dL</w:t>
            </w:r>
          </w:p>
        </w:tc>
        <w:tc>
          <w:tcPr>
            <w:tcW w:w="1560" w:type="dxa"/>
          </w:tcPr>
          <w:p w14:paraId="78B13B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60" w:type="dxa"/>
          </w:tcPr>
          <w:p w14:paraId="01B78F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45247</w:t>
            </w:r>
          </w:p>
        </w:tc>
        <w:tc>
          <w:tcPr>
            <w:tcW w:w="1560" w:type="dxa"/>
          </w:tcPr>
          <w:p w14:paraId="043EA0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4450</w:t>
            </w:r>
          </w:p>
        </w:tc>
        <w:tc>
          <w:tcPr>
            <w:tcW w:w="1560" w:type="dxa"/>
          </w:tcPr>
          <w:p w14:paraId="21CB45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2.398 (2.149, 2.676)</w:t>
            </w:r>
          </w:p>
        </w:tc>
        <w:tc>
          <w:tcPr>
            <w:tcW w:w="1560" w:type="dxa"/>
          </w:tcPr>
          <w:p w14:paraId="0C79D5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0.156</w:t>
            </w:r>
          </w:p>
        </w:tc>
      </w:tr>
      <w:tr w14:paraId="6176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8535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Creatinine_min ≥1.5 mg/dL</w:t>
            </w:r>
          </w:p>
        </w:tc>
        <w:tc>
          <w:tcPr>
            <w:tcW w:w="1560" w:type="dxa"/>
          </w:tcPr>
          <w:p w14:paraId="420027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60" w:type="dxa"/>
          </w:tcPr>
          <w:p w14:paraId="2E344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10026</w:t>
            </w:r>
          </w:p>
        </w:tc>
        <w:tc>
          <w:tcPr>
            <w:tcW w:w="1560" w:type="dxa"/>
          </w:tcPr>
          <w:p w14:paraId="453DB3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2555</w:t>
            </w:r>
          </w:p>
        </w:tc>
        <w:tc>
          <w:tcPr>
            <w:tcW w:w="1560" w:type="dxa"/>
          </w:tcPr>
          <w:p w14:paraId="6FF73F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2.169 (1.780, 2.643)</w:t>
            </w:r>
          </w:p>
        </w:tc>
        <w:tc>
          <w:tcPr>
            <w:tcW w:w="1560" w:type="dxa"/>
          </w:tcPr>
          <w:p w14:paraId="16410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0.156</w:t>
            </w:r>
          </w:p>
        </w:tc>
      </w:tr>
    </w:tbl>
    <w:p w14:paraId="3FE60EB5">
      <w:pPr>
        <w:rPr>
          <w:rFonts w:hint="default" w:ascii="Times New Roman" w:hAnsi="Times New Roman" w:cs="Times New Roman"/>
          <w:sz w:val="22"/>
          <w:szCs w:val="22"/>
        </w:rPr>
      </w:pPr>
      <w:r>
        <w:t>Adjusted ORs compare Q4 vs Q1 of AG_first_12h using Model 3 logistic regression. Interaction p values were obtained from multiplicative interaction terms.</w:t>
      </w:r>
    </w:p>
    <w:p w14:paraId="234B2F00">
      <w:pPr>
        <w:rPr>
          <w:rFonts w:hint="default" w:ascii="Times New Roman" w:hAnsi="Times New Roman" w:cs="Times New Roman"/>
          <w:sz w:val="22"/>
          <w:szCs w:val="22"/>
        </w:rPr>
      </w:pPr>
    </w:p>
    <w:p w14:paraId="40B427FF">
      <w:pPr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Table S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sz w:val="22"/>
          <w:szCs w:val="22"/>
        </w:rPr>
        <w:t>. Lactate-adjusted sensitivity analyses (Model 3).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652"/>
        <w:gridCol w:w="1710"/>
        <w:gridCol w:w="1645"/>
        <w:gridCol w:w="1666"/>
      </w:tblGrid>
      <w:tr w14:paraId="2330B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shd w:val="clear" w:color="auto" w:fill="auto"/>
            <w:vAlign w:val="top"/>
          </w:tcPr>
          <w:p w14:paraId="1977AB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Analysis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32391B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3BEBEF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Lactate observed N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35822A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 OR (95% CI)</w:t>
            </w:r>
          </w:p>
        </w:tc>
        <w:tc>
          <w:tcPr>
            <w:tcW w:w="1872" w:type="dxa"/>
            <w:shd w:val="clear" w:color="auto" w:fill="auto"/>
            <w:vAlign w:val="top"/>
          </w:tcPr>
          <w:p w14:paraId="42BA8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</w:t>
            </w:r>
          </w:p>
        </w:tc>
      </w:tr>
      <w:tr w14:paraId="26F83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09ABE7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Primary (12h) + lactate missing-indicator</w:t>
            </w:r>
          </w:p>
        </w:tc>
        <w:tc>
          <w:tcPr>
            <w:tcW w:w="1872" w:type="dxa"/>
          </w:tcPr>
          <w:p w14:paraId="3C0087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55273</w:t>
            </w:r>
          </w:p>
        </w:tc>
        <w:tc>
          <w:tcPr>
            <w:tcW w:w="1872" w:type="dxa"/>
          </w:tcPr>
          <w:p w14:paraId="388ACF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31332</w:t>
            </w:r>
          </w:p>
        </w:tc>
        <w:tc>
          <w:tcPr>
            <w:tcW w:w="1872" w:type="dxa"/>
          </w:tcPr>
          <w:p w14:paraId="335854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2.09 (1.90, 2.30)</w:t>
            </w:r>
          </w:p>
        </w:tc>
        <w:tc>
          <w:tcPr>
            <w:tcW w:w="1872" w:type="dxa"/>
          </w:tcPr>
          <w:p w14:paraId="72196F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DB34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51348A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Primary (12h) lactate complete-case</w:t>
            </w:r>
          </w:p>
        </w:tc>
        <w:tc>
          <w:tcPr>
            <w:tcW w:w="1872" w:type="dxa"/>
          </w:tcPr>
          <w:p w14:paraId="24D75C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31332</w:t>
            </w:r>
          </w:p>
        </w:tc>
        <w:tc>
          <w:tcPr>
            <w:tcW w:w="1872" w:type="dxa"/>
          </w:tcPr>
          <w:p w14:paraId="3B233E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31332</w:t>
            </w:r>
          </w:p>
        </w:tc>
        <w:tc>
          <w:tcPr>
            <w:tcW w:w="1872" w:type="dxa"/>
          </w:tcPr>
          <w:p w14:paraId="59A471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2.21 (1.98, 2.48)</w:t>
            </w:r>
          </w:p>
        </w:tc>
        <w:tc>
          <w:tcPr>
            <w:tcW w:w="1872" w:type="dxa"/>
          </w:tcPr>
          <w:p w14:paraId="7C685D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51759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2C30D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Secondary (24h) + lactate missing-indicator</w:t>
            </w:r>
          </w:p>
        </w:tc>
        <w:tc>
          <w:tcPr>
            <w:tcW w:w="1872" w:type="dxa"/>
          </w:tcPr>
          <w:p w14:paraId="081DA0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60252</w:t>
            </w:r>
          </w:p>
        </w:tc>
        <w:tc>
          <w:tcPr>
            <w:tcW w:w="1872" w:type="dxa"/>
          </w:tcPr>
          <w:p w14:paraId="2F679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32361</w:t>
            </w:r>
          </w:p>
        </w:tc>
        <w:tc>
          <w:tcPr>
            <w:tcW w:w="1872" w:type="dxa"/>
          </w:tcPr>
          <w:p w14:paraId="4C31D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1.85 (1.69, 2.03)</w:t>
            </w:r>
          </w:p>
        </w:tc>
        <w:tc>
          <w:tcPr>
            <w:tcW w:w="1872" w:type="dxa"/>
          </w:tcPr>
          <w:p w14:paraId="7E4953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59050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531B36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Secondary (24h) lactate complete-case</w:t>
            </w:r>
          </w:p>
        </w:tc>
        <w:tc>
          <w:tcPr>
            <w:tcW w:w="1872" w:type="dxa"/>
          </w:tcPr>
          <w:p w14:paraId="76AB9B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32361</w:t>
            </w:r>
          </w:p>
        </w:tc>
        <w:tc>
          <w:tcPr>
            <w:tcW w:w="1872" w:type="dxa"/>
          </w:tcPr>
          <w:p w14:paraId="503527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32361</w:t>
            </w:r>
          </w:p>
        </w:tc>
        <w:tc>
          <w:tcPr>
            <w:tcW w:w="1872" w:type="dxa"/>
          </w:tcPr>
          <w:p w14:paraId="168DE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2.08 (1.85, 2.34)</w:t>
            </w:r>
          </w:p>
        </w:tc>
        <w:tc>
          <w:tcPr>
            <w:tcW w:w="1872" w:type="dxa"/>
          </w:tcPr>
          <w:p w14:paraId="7AB9B3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097518FC">
      <w:pPr>
        <w:rPr>
          <w:rFonts w:hint="default" w:ascii="Times New Roman" w:hAnsi="Times New Roman" w:cs="Times New Roman"/>
          <w:sz w:val="22"/>
          <w:szCs w:val="22"/>
        </w:rPr>
      </w:pPr>
      <w:r>
        <w:t>Lactate was defined as the maximum lactate during 0–24 h. Missing-indicator models included lactate (when observed) plus an indicator for missingness; complete-case models restricted to patients with lactate observed.</w:t>
      </w:r>
    </w:p>
    <w:p w14:paraId="656668E1">
      <w:pPr>
        <w:rPr>
          <w:rFonts w:hint="default" w:ascii="Times New Roman" w:hAnsi="Times New Roman" w:cs="Times New Roman"/>
          <w:sz w:val="22"/>
          <w:szCs w:val="22"/>
        </w:rPr>
      </w:pPr>
    </w:p>
    <w:p w14:paraId="03360FF7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sz w:val="22"/>
          <w:szCs w:val="22"/>
        </w:rPr>
        <w:t>. Cohort derivation and analytic sample sizes in the eICU-CRD external validation cohort.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3"/>
        <w:gridCol w:w="1701"/>
      </w:tblGrid>
      <w:tr w14:paraId="7D49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22A8213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Cohort step</w:t>
            </w:r>
          </w:p>
        </w:tc>
        <w:tc>
          <w:tcPr>
            <w:tcW w:w="1701" w:type="dxa"/>
            <w:vAlign w:val="center"/>
          </w:tcPr>
          <w:p w14:paraId="09F7729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</w:tr>
      <w:tr w14:paraId="14C4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5A9F966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Adult first ICU stay per patient (base cohort)</w:t>
            </w:r>
          </w:p>
        </w:tc>
        <w:tc>
          <w:tcPr>
            <w:tcW w:w="1701" w:type="dxa"/>
            <w:vAlign w:val="center"/>
          </w:tcPr>
          <w:p w14:paraId="09A1280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138855</w:t>
            </w:r>
          </w:p>
        </w:tc>
      </w:tr>
      <w:tr w14:paraId="3618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2F7F292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Eligible at 12 h landmark</w:t>
            </w:r>
          </w:p>
        </w:tc>
        <w:tc>
          <w:tcPr>
            <w:tcW w:w="1701" w:type="dxa"/>
            <w:vAlign w:val="center"/>
          </w:tcPr>
          <w:p w14:paraId="74FE762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137854</w:t>
            </w:r>
          </w:p>
        </w:tc>
      </w:tr>
      <w:tr w14:paraId="7B88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3585F16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With AG_first_12h available (analysis set)</w:t>
            </w:r>
          </w:p>
        </w:tc>
        <w:tc>
          <w:tcPr>
            <w:tcW w:w="1701" w:type="dxa"/>
            <w:vAlign w:val="center"/>
          </w:tcPr>
          <w:p w14:paraId="45A88CB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68751</w:t>
            </w:r>
          </w:p>
        </w:tc>
      </w:tr>
      <w:tr w14:paraId="6967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6AAEEC3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Eligible at 24 h landmark</w:t>
            </w:r>
          </w:p>
        </w:tc>
        <w:tc>
          <w:tcPr>
            <w:tcW w:w="1701" w:type="dxa"/>
            <w:vAlign w:val="center"/>
          </w:tcPr>
          <w:p w14:paraId="34B352F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136728</w:t>
            </w:r>
          </w:p>
        </w:tc>
      </w:tr>
      <w:tr w14:paraId="0042C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1419965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With AGmax_24h available (analysis set)</w:t>
            </w:r>
          </w:p>
        </w:tc>
        <w:tc>
          <w:tcPr>
            <w:tcW w:w="1701" w:type="dxa"/>
            <w:vAlign w:val="center"/>
          </w:tcPr>
          <w:p w14:paraId="067782A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93917</w:t>
            </w:r>
          </w:p>
        </w:tc>
      </w:tr>
      <w:tr w14:paraId="6E53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0D58229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With albumin within 0-24 h</w:t>
            </w:r>
          </w:p>
        </w:tc>
        <w:tc>
          <w:tcPr>
            <w:tcW w:w="1701" w:type="dxa"/>
            <w:vAlign w:val="center"/>
          </w:tcPr>
          <w:p w14:paraId="5F7FE51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56479</w:t>
            </w:r>
          </w:p>
        </w:tc>
      </w:tr>
      <w:tr w14:paraId="2379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365A9EF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With cAGmax_24h available (analysis subset)</w:t>
            </w:r>
          </w:p>
        </w:tc>
        <w:tc>
          <w:tcPr>
            <w:tcW w:w="1701" w:type="dxa"/>
            <w:vAlign w:val="center"/>
          </w:tcPr>
          <w:p w14:paraId="215429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45444</w:t>
            </w:r>
          </w:p>
        </w:tc>
      </w:tr>
      <w:tr w14:paraId="713C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3" w:type="dxa"/>
            <w:vAlign w:val="center"/>
          </w:tcPr>
          <w:p w14:paraId="63EB3B3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With lactate within 0-24 h</w:t>
            </w:r>
          </w:p>
        </w:tc>
        <w:tc>
          <w:tcPr>
            <w:tcW w:w="1701" w:type="dxa"/>
            <w:vAlign w:val="center"/>
          </w:tcPr>
          <w:p w14:paraId="1E1CD6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30548</w:t>
            </w:r>
          </w:p>
        </w:tc>
      </w:tr>
    </w:tbl>
    <w:p w14:paraId="233EEF81">
      <w:pPr>
        <w:rPr>
          <w:rFonts w:hint="default" w:ascii="Times New Roman" w:hAnsi="Times New Roman" w:cs="Times New Roman"/>
          <w:sz w:val="22"/>
          <w:szCs w:val="22"/>
        </w:rPr>
      </w:pPr>
      <w:r>
        <w:t>LM12h required AG_first_12h (first AG during 0–12 h) and survival to 12 h; LM24h required AGmax_24h (maximum AG during 0–24 h) and survival to 24 h. The cAG subset required albumin measured during 0–24 h.</w:t>
      </w:r>
    </w:p>
    <w:p w14:paraId="21EBF5F2">
      <w:pPr>
        <w:rPr>
          <w:rFonts w:hint="default" w:ascii="Times New Roman" w:hAnsi="Times New Roman" w:cs="Times New Roman"/>
          <w:b/>
          <w:sz w:val="22"/>
          <w:szCs w:val="22"/>
        </w:rPr>
      </w:pPr>
    </w:p>
    <w:p w14:paraId="1B21F87A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S7</w:t>
      </w:r>
      <w:r>
        <w:rPr>
          <w:rFonts w:hint="default" w:ascii="Times New Roman" w:hAnsi="Times New Roman" w:cs="Times New Roman"/>
          <w:b/>
          <w:sz w:val="22"/>
          <w:szCs w:val="22"/>
        </w:rPr>
        <w:t>. Missingness of prespecified variables in eICU-CRD analytic cohorts.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1704"/>
        <w:gridCol w:w="1707"/>
        <w:gridCol w:w="1705"/>
      </w:tblGrid>
      <w:tr w14:paraId="3FCE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55" w:type="dxa"/>
            <w:vAlign w:val="center"/>
          </w:tcPr>
          <w:p w14:paraId="1168506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1814" w:type="dxa"/>
            <w:vAlign w:val="center"/>
          </w:tcPr>
          <w:p w14:paraId="30F387D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Missing % (LM12h main)</w:t>
            </w:r>
          </w:p>
        </w:tc>
        <w:tc>
          <w:tcPr>
            <w:tcW w:w="1814" w:type="dxa"/>
            <w:vAlign w:val="center"/>
          </w:tcPr>
          <w:p w14:paraId="062B84F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Missing % (LM24h secondary)</w:t>
            </w:r>
          </w:p>
        </w:tc>
        <w:tc>
          <w:tcPr>
            <w:tcW w:w="1814" w:type="dxa"/>
            <w:vAlign w:val="center"/>
          </w:tcPr>
          <w:p w14:paraId="146937E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Missing % (LM24h cAG subset)</w:t>
            </w:r>
          </w:p>
        </w:tc>
      </w:tr>
      <w:tr w14:paraId="7B9E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2FA8D96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814" w:type="dxa"/>
            <w:vAlign w:val="center"/>
          </w:tcPr>
          <w:p w14:paraId="3DFB1CF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814" w:type="dxa"/>
            <w:vAlign w:val="center"/>
          </w:tcPr>
          <w:p w14:paraId="4D073B5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814" w:type="dxa"/>
            <w:vAlign w:val="center"/>
          </w:tcPr>
          <w:p w14:paraId="33F7A39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14:paraId="263F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966D7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Female (sex)</w:t>
            </w:r>
          </w:p>
        </w:tc>
        <w:tc>
          <w:tcPr>
            <w:tcW w:w="1814" w:type="dxa"/>
            <w:vAlign w:val="center"/>
          </w:tcPr>
          <w:p w14:paraId="1D2DC63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814" w:type="dxa"/>
            <w:vAlign w:val="center"/>
          </w:tcPr>
          <w:p w14:paraId="4AF752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814" w:type="dxa"/>
            <w:vAlign w:val="center"/>
          </w:tcPr>
          <w:p w14:paraId="39ED97A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14:paraId="7F8A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D6C9B4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APACHE total score</w:t>
            </w:r>
          </w:p>
        </w:tc>
        <w:tc>
          <w:tcPr>
            <w:tcW w:w="1814" w:type="dxa"/>
            <w:vAlign w:val="center"/>
          </w:tcPr>
          <w:p w14:paraId="390E8F5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1814" w:type="dxa"/>
            <w:vAlign w:val="center"/>
          </w:tcPr>
          <w:p w14:paraId="0E3AF24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1814" w:type="dxa"/>
            <w:vAlign w:val="center"/>
          </w:tcPr>
          <w:p w14:paraId="7D55304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15.5</w:t>
            </w:r>
          </w:p>
        </w:tc>
      </w:tr>
      <w:tr w14:paraId="301F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8E0086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MAP/MAP mean (0-24h)</w:t>
            </w:r>
          </w:p>
        </w:tc>
        <w:tc>
          <w:tcPr>
            <w:tcW w:w="1814" w:type="dxa"/>
            <w:vAlign w:val="center"/>
          </w:tcPr>
          <w:p w14:paraId="6E95F1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814" w:type="dxa"/>
            <w:vAlign w:val="center"/>
          </w:tcPr>
          <w:p w14:paraId="222E186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814" w:type="dxa"/>
            <w:vAlign w:val="center"/>
          </w:tcPr>
          <w:p w14:paraId="25E9258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2.0</w:t>
            </w:r>
          </w:p>
        </w:tc>
      </w:tr>
      <w:tr w14:paraId="78F7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41C0A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Heart rate mean (0-24h)</w:t>
            </w:r>
          </w:p>
        </w:tc>
        <w:tc>
          <w:tcPr>
            <w:tcW w:w="1814" w:type="dxa"/>
            <w:vAlign w:val="center"/>
          </w:tcPr>
          <w:p w14:paraId="0A981E0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814" w:type="dxa"/>
            <w:vAlign w:val="center"/>
          </w:tcPr>
          <w:p w14:paraId="0D812D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814" w:type="dxa"/>
            <w:vAlign w:val="center"/>
          </w:tcPr>
          <w:p w14:paraId="58F176C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</w:t>
            </w:r>
          </w:p>
        </w:tc>
      </w:tr>
      <w:tr w14:paraId="5805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E5677C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Respiratory rate mean (0-24h)</w:t>
            </w:r>
          </w:p>
        </w:tc>
        <w:tc>
          <w:tcPr>
            <w:tcW w:w="1814" w:type="dxa"/>
            <w:vAlign w:val="center"/>
          </w:tcPr>
          <w:p w14:paraId="6F62B59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814" w:type="dxa"/>
            <w:vAlign w:val="center"/>
          </w:tcPr>
          <w:p w14:paraId="7515214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814" w:type="dxa"/>
            <w:vAlign w:val="center"/>
          </w:tcPr>
          <w:p w14:paraId="2FEF29D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5.7</w:t>
            </w:r>
          </w:p>
        </w:tc>
      </w:tr>
      <w:tr w14:paraId="5A52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C8DC22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SaO2 mean (0-24h)</w:t>
            </w:r>
          </w:p>
        </w:tc>
        <w:tc>
          <w:tcPr>
            <w:tcW w:w="1814" w:type="dxa"/>
            <w:vAlign w:val="center"/>
          </w:tcPr>
          <w:p w14:paraId="230FD45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814" w:type="dxa"/>
            <w:vAlign w:val="center"/>
          </w:tcPr>
          <w:p w14:paraId="2E2642F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814" w:type="dxa"/>
            <w:vAlign w:val="center"/>
          </w:tcPr>
          <w:p w14:paraId="4B9594C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2.6</w:t>
            </w:r>
          </w:p>
        </w:tc>
      </w:tr>
      <w:tr w14:paraId="5D7E3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016A53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 min (0-24h)</w:t>
            </w:r>
          </w:p>
        </w:tc>
        <w:tc>
          <w:tcPr>
            <w:tcW w:w="1814" w:type="dxa"/>
            <w:vAlign w:val="center"/>
          </w:tcPr>
          <w:p w14:paraId="11C7FDC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814" w:type="dxa"/>
            <w:vAlign w:val="center"/>
          </w:tcPr>
          <w:p w14:paraId="294CF41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814" w:type="dxa"/>
            <w:vAlign w:val="center"/>
          </w:tcPr>
          <w:p w14:paraId="3C50CD3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14:paraId="482C9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A49431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BUN min (0-24h)</w:t>
            </w:r>
          </w:p>
        </w:tc>
        <w:tc>
          <w:tcPr>
            <w:tcW w:w="1814" w:type="dxa"/>
            <w:vAlign w:val="center"/>
          </w:tcPr>
          <w:p w14:paraId="01B0612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814" w:type="dxa"/>
            <w:vAlign w:val="center"/>
          </w:tcPr>
          <w:p w14:paraId="05C96DC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814" w:type="dxa"/>
            <w:vAlign w:val="center"/>
          </w:tcPr>
          <w:p w14:paraId="46DECA0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14:paraId="069B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186562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WBC min (0-24h)</w:t>
            </w:r>
          </w:p>
        </w:tc>
        <w:tc>
          <w:tcPr>
            <w:tcW w:w="1814" w:type="dxa"/>
            <w:vAlign w:val="center"/>
          </w:tcPr>
          <w:p w14:paraId="6AC6AA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814" w:type="dxa"/>
            <w:vAlign w:val="center"/>
          </w:tcPr>
          <w:p w14:paraId="09461C1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6.0</w:t>
            </w:r>
          </w:p>
        </w:tc>
        <w:tc>
          <w:tcPr>
            <w:tcW w:w="1814" w:type="dxa"/>
            <w:vAlign w:val="center"/>
          </w:tcPr>
          <w:p w14:paraId="66797AE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3.6</w:t>
            </w:r>
          </w:p>
        </w:tc>
      </w:tr>
      <w:tr w14:paraId="5D02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3604E18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Platelets min (0-24h)</w:t>
            </w:r>
          </w:p>
        </w:tc>
        <w:tc>
          <w:tcPr>
            <w:tcW w:w="1814" w:type="dxa"/>
            <w:vAlign w:val="center"/>
          </w:tcPr>
          <w:p w14:paraId="5C9548B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814" w:type="dxa"/>
            <w:vAlign w:val="center"/>
          </w:tcPr>
          <w:p w14:paraId="42E4A5F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814" w:type="dxa"/>
            <w:vAlign w:val="center"/>
          </w:tcPr>
          <w:p w14:paraId="6477F3E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3.9</w:t>
            </w:r>
          </w:p>
        </w:tc>
      </w:tr>
      <w:tr w14:paraId="345F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54B8F4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 within 0-24h</w:t>
            </w:r>
          </w:p>
        </w:tc>
        <w:tc>
          <w:tcPr>
            <w:tcW w:w="1814" w:type="dxa"/>
            <w:vAlign w:val="center"/>
          </w:tcPr>
          <w:p w14:paraId="3E6557E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814" w:type="dxa"/>
            <w:vAlign w:val="center"/>
          </w:tcPr>
          <w:p w14:paraId="45D22D4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51.6</w:t>
            </w:r>
          </w:p>
        </w:tc>
        <w:tc>
          <w:tcPr>
            <w:tcW w:w="1814" w:type="dxa"/>
            <w:vAlign w:val="center"/>
          </w:tcPr>
          <w:p w14:paraId="4958EA6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14:paraId="5A96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6D94A1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cAGmax_24h</w:t>
            </w:r>
          </w:p>
        </w:tc>
        <w:tc>
          <w:tcPr>
            <w:tcW w:w="1814" w:type="dxa"/>
            <w:vAlign w:val="center"/>
          </w:tcPr>
          <w:p w14:paraId="090CC7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814" w:type="dxa"/>
            <w:vAlign w:val="center"/>
          </w:tcPr>
          <w:p w14:paraId="054F4C5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51.6</w:t>
            </w:r>
          </w:p>
        </w:tc>
        <w:tc>
          <w:tcPr>
            <w:tcW w:w="1814" w:type="dxa"/>
            <w:vAlign w:val="center"/>
          </w:tcPr>
          <w:p w14:paraId="3857226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</w:p>
        </w:tc>
      </w:tr>
    </w:tbl>
    <w:p w14:paraId="7B7CA5C3">
      <w:pP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r>
        <w:t>Percentages reflect missingness within each analytic cohort (LM12h, LM24h, and LM24h cAG subset).</w:t>
      </w:r>
      <w:r>
        <w:rPr>
          <w:rFonts w:hint="eastAsia" w:eastAsia="宋体"/>
          <w:lang w:val="en-US" w:eastAsia="zh-CN"/>
        </w:rPr>
        <w:t xml:space="preserve"> NA indicates not applicable because the variable was not part of the corresponding analytic cohort definition.</w:t>
      </w:r>
    </w:p>
    <w:p w14:paraId="038C5FE4">
      <w:pPr>
        <w:rPr>
          <w:rFonts w:hint="default" w:ascii="Times New Roman" w:hAnsi="Times New Roman" w:cs="Times New Roman"/>
          <w:sz w:val="22"/>
          <w:szCs w:val="22"/>
        </w:rPr>
      </w:pPr>
    </w:p>
    <w:p w14:paraId="5538D96A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S8</w:t>
      </w:r>
      <w:r>
        <w:rPr>
          <w:rFonts w:hint="default" w:ascii="Times New Roman" w:hAnsi="Times New Roman" w:cs="Times New Roman"/>
          <w:b/>
          <w:sz w:val="22"/>
          <w:szCs w:val="22"/>
        </w:rPr>
        <w:t>. Baseline characteristics by AG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first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12h quartiles (LM12h main cohort).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1398"/>
        <w:gridCol w:w="1398"/>
        <w:gridCol w:w="1398"/>
        <w:gridCol w:w="1398"/>
      </w:tblGrid>
      <w:tr w14:paraId="40AB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B801EB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1644" w:type="dxa"/>
            <w:vAlign w:val="center"/>
          </w:tcPr>
          <w:p w14:paraId="7E8C76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Q1</w:t>
            </w:r>
          </w:p>
        </w:tc>
        <w:tc>
          <w:tcPr>
            <w:tcW w:w="1644" w:type="dxa"/>
            <w:vAlign w:val="center"/>
          </w:tcPr>
          <w:p w14:paraId="40DA94A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</w:t>
            </w:r>
          </w:p>
        </w:tc>
        <w:tc>
          <w:tcPr>
            <w:tcW w:w="1644" w:type="dxa"/>
            <w:vAlign w:val="center"/>
          </w:tcPr>
          <w:p w14:paraId="6592BA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</w:t>
            </w:r>
          </w:p>
        </w:tc>
        <w:tc>
          <w:tcPr>
            <w:tcW w:w="1644" w:type="dxa"/>
            <w:vAlign w:val="center"/>
          </w:tcPr>
          <w:p w14:paraId="7008335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</w:t>
            </w:r>
          </w:p>
        </w:tc>
      </w:tr>
      <w:tr w14:paraId="6F51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2041C80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644" w:type="dxa"/>
            <w:vAlign w:val="center"/>
          </w:tcPr>
          <w:p w14:paraId="01B6A5B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6.00 [5.00, 7.00]</w:t>
            </w:r>
          </w:p>
        </w:tc>
        <w:tc>
          <w:tcPr>
            <w:tcW w:w="1644" w:type="dxa"/>
            <w:vAlign w:val="center"/>
          </w:tcPr>
          <w:p w14:paraId="5681F08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9.00 [9.00, 10.00]</w:t>
            </w:r>
          </w:p>
        </w:tc>
        <w:tc>
          <w:tcPr>
            <w:tcW w:w="1644" w:type="dxa"/>
            <w:vAlign w:val="center"/>
          </w:tcPr>
          <w:p w14:paraId="48774B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12.00 [11.90, 13.00]</w:t>
            </w:r>
          </w:p>
        </w:tc>
        <w:tc>
          <w:tcPr>
            <w:tcW w:w="1644" w:type="dxa"/>
            <w:vAlign w:val="center"/>
          </w:tcPr>
          <w:p w14:paraId="53F61A5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17.00 [15.00, 19.00]</w:t>
            </w:r>
          </w:p>
        </w:tc>
      </w:tr>
      <w:tr w14:paraId="030D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CDED5F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644" w:type="dxa"/>
            <w:vAlign w:val="center"/>
          </w:tcPr>
          <w:p w14:paraId="23578B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65.00 [53.00, 76.00]</w:t>
            </w:r>
          </w:p>
        </w:tc>
        <w:tc>
          <w:tcPr>
            <w:tcW w:w="1644" w:type="dxa"/>
            <w:vAlign w:val="center"/>
          </w:tcPr>
          <w:p w14:paraId="755B577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66.00 [53.00, 77.00]</w:t>
            </w:r>
          </w:p>
        </w:tc>
        <w:tc>
          <w:tcPr>
            <w:tcW w:w="1644" w:type="dxa"/>
            <w:vAlign w:val="center"/>
          </w:tcPr>
          <w:p w14:paraId="0DD9B9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65.00 [52.00, 76.00]</w:t>
            </w:r>
          </w:p>
        </w:tc>
        <w:tc>
          <w:tcPr>
            <w:tcW w:w="1644" w:type="dxa"/>
            <w:vAlign w:val="center"/>
          </w:tcPr>
          <w:p w14:paraId="74340E0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63.00 [50.00, 75.00]</w:t>
            </w:r>
          </w:p>
        </w:tc>
      </w:tr>
      <w:tr w14:paraId="2009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DA3CC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APACHE total score</w:t>
            </w:r>
          </w:p>
        </w:tc>
        <w:tc>
          <w:tcPr>
            <w:tcW w:w="1644" w:type="dxa"/>
            <w:vAlign w:val="center"/>
          </w:tcPr>
          <w:p w14:paraId="70A6019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51.00 [38.00, 67.00]</w:t>
            </w:r>
          </w:p>
        </w:tc>
        <w:tc>
          <w:tcPr>
            <w:tcW w:w="1644" w:type="dxa"/>
            <w:vAlign w:val="center"/>
          </w:tcPr>
          <w:p w14:paraId="484835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52.00 [38.00, 68.75]</w:t>
            </w:r>
          </w:p>
        </w:tc>
        <w:tc>
          <w:tcPr>
            <w:tcW w:w="1644" w:type="dxa"/>
            <w:vAlign w:val="center"/>
          </w:tcPr>
          <w:p w14:paraId="070AD26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53.00 [38.00, 71.00]</w:t>
            </w:r>
          </w:p>
        </w:tc>
        <w:tc>
          <w:tcPr>
            <w:tcW w:w="1644" w:type="dxa"/>
            <w:vAlign w:val="center"/>
          </w:tcPr>
          <w:p w14:paraId="579000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61.00 [44.00, 84.00]</w:t>
            </w:r>
          </w:p>
        </w:tc>
      </w:tr>
      <w:tr w14:paraId="2961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F8B11E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BUN min (0-24h)</w:t>
            </w:r>
          </w:p>
        </w:tc>
        <w:tc>
          <w:tcPr>
            <w:tcW w:w="1644" w:type="dxa"/>
            <w:vAlign w:val="center"/>
          </w:tcPr>
          <w:p w14:paraId="2F45440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16.00 [11.00, 23.00]</w:t>
            </w:r>
          </w:p>
        </w:tc>
        <w:tc>
          <w:tcPr>
            <w:tcW w:w="1644" w:type="dxa"/>
            <w:vAlign w:val="center"/>
          </w:tcPr>
          <w:p w14:paraId="0D348E8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17.00 [11.00, 26.00]</w:t>
            </w:r>
          </w:p>
        </w:tc>
        <w:tc>
          <w:tcPr>
            <w:tcW w:w="1644" w:type="dxa"/>
            <w:vAlign w:val="center"/>
          </w:tcPr>
          <w:p w14:paraId="3CFE28B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18.00 [12.00, 29.00]</w:t>
            </w:r>
          </w:p>
        </w:tc>
        <w:tc>
          <w:tcPr>
            <w:tcW w:w="1644" w:type="dxa"/>
            <w:vAlign w:val="center"/>
          </w:tcPr>
          <w:p w14:paraId="27DC968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22.00 [13.00, 42.00]</w:t>
            </w:r>
          </w:p>
        </w:tc>
      </w:tr>
      <w:tr w14:paraId="3688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509FB9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 min (0-24h)</w:t>
            </w:r>
          </w:p>
        </w:tc>
        <w:tc>
          <w:tcPr>
            <w:tcW w:w="1644" w:type="dxa"/>
            <w:vAlign w:val="center"/>
          </w:tcPr>
          <w:p w14:paraId="0D23005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0.84 [0.67, 1.10]</w:t>
            </w:r>
          </w:p>
        </w:tc>
        <w:tc>
          <w:tcPr>
            <w:tcW w:w="1644" w:type="dxa"/>
            <w:vAlign w:val="center"/>
          </w:tcPr>
          <w:p w14:paraId="68D24CC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0.90 [0.70, 1.28]</w:t>
            </w:r>
          </w:p>
        </w:tc>
        <w:tc>
          <w:tcPr>
            <w:tcW w:w="1644" w:type="dxa"/>
            <w:vAlign w:val="center"/>
          </w:tcPr>
          <w:p w14:paraId="73D997F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0.97 [0.72, 1.44]</w:t>
            </w:r>
          </w:p>
        </w:tc>
        <w:tc>
          <w:tcPr>
            <w:tcW w:w="1644" w:type="dxa"/>
            <w:vAlign w:val="center"/>
          </w:tcPr>
          <w:p w14:paraId="4E83DDA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1.20 [0.80, 2.30]</w:t>
            </w:r>
          </w:p>
        </w:tc>
      </w:tr>
      <w:tr w14:paraId="48A4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1C13FB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644" w:type="dxa"/>
            <w:vAlign w:val="center"/>
          </w:tcPr>
          <w:p w14:paraId="3E6A93D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7592 (44.2%)</w:t>
            </w:r>
          </w:p>
        </w:tc>
        <w:tc>
          <w:tcPr>
            <w:tcW w:w="1644" w:type="dxa"/>
            <w:vAlign w:val="center"/>
          </w:tcPr>
          <w:p w14:paraId="718CAFF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7967 (46.4%)</w:t>
            </w:r>
          </w:p>
        </w:tc>
        <w:tc>
          <w:tcPr>
            <w:tcW w:w="1644" w:type="dxa"/>
            <w:vAlign w:val="center"/>
          </w:tcPr>
          <w:p w14:paraId="5E61D37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7878 (45.8%)</w:t>
            </w:r>
          </w:p>
        </w:tc>
        <w:tc>
          <w:tcPr>
            <w:tcW w:w="1644" w:type="dxa"/>
            <w:vAlign w:val="center"/>
          </w:tcPr>
          <w:p w14:paraId="38037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7985 (46.5%)</w:t>
            </w:r>
          </w:p>
        </w:tc>
      </w:tr>
      <w:tr w14:paraId="6559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559611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Heart rate mean (0-24h)</w:t>
            </w:r>
          </w:p>
        </w:tc>
        <w:tc>
          <w:tcPr>
            <w:tcW w:w="1644" w:type="dxa"/>
            <w:vAlign w:val="center"/>
          </w:tcPr>
          <w:p w14:paraId="66B6284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80.91 [70.98, 91.93]</w:t>
            </w:r>
          </w:p>
        </w:tc>
        <w:tc>
          <w:tcPr>
            <w:tcW w:w="1644" w:type="dxa"/>
            <w:vAlign w:val="center"/>
          </w:tcPr>
          <w:p w14:paraId="120F95D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82.35 [71.84, 93.98]</w:t>
            </w:r>
          </w:p>
        </w:tc>
        <w:tc>
          <w:tcPr>
            <w:tcW w:w="1644" w:type="dxa"/>
            <w:vAlign w:val="center"/>
          </w:tcPr>
          <w:p w14:paraId="5624E7A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83.60 [73.01, 95.72]</w:t>
            </w:r>
          </w:p>
        </w:tc>
        <w:tc>
          <w:tcPr>
            <w:tcW w:w="1644" w:type="dxa"/>
            <w:vAlign w:val="center"/>
          </w:tcPr>
          <w:p w14:paraId="45C2105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88.21 [76.61, 100.42]</w:t>
            </w:r>
          </w:p>
        </w:tc>
      </w:tr>
      <w:tr w14:paraId="6A3F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C512BD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MAP/MAP mean (0-24h)</w:t>
            </w:r>
          </w:p>
        </w:tc>
        <w:tc>
          <w:tcPr>
            <w:tcW w:w="1644" w:type="dxa"/>
            <w:vAlign w:val="center"/>
          </w:tcPr>
          <w:p w14:paraId="6D83FAE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79.75 [72.12, 89.00]</w:t>
            </w:r>
          </w:p>
        </w:tc>
        <w:tc>
          <w:tcPr>
            <w:tcW w:w="1644" w:type="dxa"/>
            <w:vAlign w:val="center"/>
          </w:tcPr>
          <w:p w14:paraId="19FCCB8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80.33 [72.43, 89.94]</w:t>
            </w:r>
          </w:p>
        </w:tc>
        <w:tc>
          <w:tcPr>
            <w:tcW w:w="1644" w:type="dxa"/>
            <w:vAlign w:val="center"/>
          </w:tcPr>
          <w:p w14:paraId="4F2E530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80.50 [72.41, 90.77]</w:t>
            </w:r>
          </w:p>
        </w:tc>
        <w:tc>
          <w:tcPr>
            <w:tcW w:w="1644" w:type="dxa"/>
            <w:vAlign w:val="center"/>
          </w:tcPr>
          <w:p w14:paraId="2F505E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78.81 [70.68, 89.25]</w:t>
            </w:r>
          </w:p>
        </w:tc>
      </w:tr>
      <w:tr w14:paraId="6A956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08CE21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28-day in-hospital mortality (proxy)</w:t>
            </w:r>
          </w:p>
        </w:tc>
        <w:tc>
          <w:tcPr>
            <w:tcW w:w="1644" w:type="dxa"/>
            <w:vAlign w:val="center"/>
          </w:tcPr>
          <w:p w14:paraId="7631AA2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957 (5.6%)</w:t>
            </w:r>
          </w:p>
        </w:tc>
        <w:tc>
          <w:tcPr>
            <w:tcW w:w="1644" w:type="dxa"/>
            <w:vAlign w:val="center"/>
          </w:tcPr>
          <w:p w14:paraId="481B37E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1229 (7.2%)</w:t>
            </w:r>
          </w:p>
        </w:tc>
        <w:tc>
          <w:tcPr>
            <w:tcW w:w="1644" w:type="dxa"/>
            <w:vAlign w:val="center"/>
          </w:tcPr>
          <w:p w14:paraId="4933418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1512 (8.8%)</w:t>
            </w:r>
          </w:p>
        </w:tc>
        <w:tc>
          <w:tcPr>
            <w:tcW w:w="1644" w:type="dxa"/>
            <w:vAlign w:val="center"/>
          </w:tcPr>
          <w:p w14:paraId="46EEF01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2885 (16.8%)</w:t>
            </w:r>
          </w:p>
        </w:tc>
      </w:tr>
      <w:tr w14:paraId="0C00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B4A515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Platelets min (0-24h)</w:t>
            </w:r>
          </w:p>
        </w:tc>
        <w:tc>
          <w:tcPr>
            <w:tcW w:w="1644" w:type="dxa"/>
            <w:vAlign w:val="center"/>
          </w:tcPr>
          <w:p w14:paraId="18F60AC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179.00 [133.00, 232.00]</w:t>
            </w:r>
          </w:p>
        </w:tc>
        <w:tc>
          <w:tcPr>
            <w:tcW w:w="1644" w:type="dxa"/>
            <w:vAlign w:val="center"/>
          </w:tcPr>
          <w:p w14:paraId="1EBB112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186.00 [138.00, 241.00]</w:t>
            </w:r>
          </w:p>
        </w:tc>
        <w:tc>
          <w:tcPr>
            <w:tcW w:w="1644" w:type="dxa"/>
            <w:vAlign w:val="center"/>
          </w:tcPr>
          <w:p w14:paraId="254DEB7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188.00 [139.00, 243.00]</w:t>
            </w:r>
          </w:p>
        </w:tc>
        <w:tc>
          <w:tcPr>
            <w:tcW w:w="1644" w:type="dxa"/>
            <w:vAlign w:val="center"/>
          </w:tcPr>
          <w:p w14:paraId="2E62013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188.00 [131.00, 249.00]</w:t>
            </w:r>
          </w:p>
        </w:tc>
      </w:tr>
      <w:tr w14:paraId="65B4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409557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Respiratory rate mean (0-24h)</w:t>
            </w:r>
          </w:p>
        </w:tc>
        <w:tc>
          <w:tcPr>
            <w:tcW w:w="1644" w:type="dxa"/>
            <w:vAlign w:val="center"/>
          </w:tcPr>
          <w:p w14:paraId="0528F0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18.24 [15.95, 21.24]</w:t>
            </w:r>
          </w:p>
        </w:tc>
        <w:tc>
          <w:tcPr>
            <w:tcW w:w="1644" w:type="dxa"/>
            <w:vAlign w:val="center"/>
          </w:tcPr>
          <w:p w14:paraId="62F7D17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18.47 [16.08, 21.64]</w:t>
            </w:r>
          </w:p>
        </w:tc>
        <w:tc>
          <w:tcPr>
            <w:tcW w:w="1644" w:type="dxa"/>
            <w:vAlign w:val="center"/>
          </w:tcPr>
          <w:p w14:paraId="53FEEE0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18.71 [16.23, 21.97]</w:t>
            </w:r>
          </w:p>
        </w:tc>
        <w:tc>
          <w:tcPr>
            <w:tcW w:w="1644" w:type="dxa"/>
            <w:vAlign w:val="center"/>
          </w:tcPr>
          <w:p w14:paraId="391B725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19.31 [16.47, 22.86]</w:t>
            </w:r>
          </w:p>
        </w:tc>
      </w:tr>
      <w:tr w14:paraId="7DB1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00445C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SaO2 mean (0-24h)</w:t>
            </w:r>
          </w:p>
        </w:tc>
        <w:tc>
          <w:tcPr>
            <w:tcW w:w="1644" w:type="dxa"/>
            <w:vAlign w:val="center"/>
          </w:tcPr>
          <w:p w14:paraId="0439A41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97.15 [95.68, 98.50]</w:t>
            </w:r>
          </w:p>
        </w:tc>
        <w:tc>
          <w:tcPr>
            <w:tcW w:w="1644" w:type="dxa"/>
            <w:vAlign w:val="center"/>
          </w:tcPr>
          <w:p w14:paraId="62AFAE9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97.10 [95.62, 98.45]</w:t>
            </w:r>
          </w:p>
        </w:tc>
        <w:tc>
          <w:tcPr>
            <w:tcW w:w="1644" w:type="dxa"/>
            <w:vAlign w:val="center"/>
          </w:tcPr>
          <w:p w14:paraId="7F01558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97.06 [95.55, 98.44]</w:t>
            </w:r>
          </w:p>
        </w:tc>
        <w:tc>
          <w:tcPr>
            <w:tcW w:w="1644" w:type="dxa"/>
            <w:vAlign w:val="center"/>
          </w:tcPr>
          <w:p w14:paraId="0474CFF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97.05 [95.37, 98.52]</w:t>
            </w:r>
          </w:p>
        </w:tc>
      </w:tr>
      <w:tr w14:paraId="38C7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685257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WBC min (0-24h)</w:t>
            </w:r>
          </w:p>
        </w:tc>
        <w:tc>
          <w:tcPr>
            <w:tcW w:w="1644" w:type="dxa"/>
            <w:vAlign w:val="center"/>
          </w:tcPr>
          <w:p w14:paraId="34A2A0D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9.60 [7.19, 12.80]</w:t>
            </w:r>
          </w:p>
        </w:tc>
        <w:tc>
          <w:tcPr>
            <w:tcW w:w="1644" w:type="dxa"/>
            <w:vAlign w:val="center"/>
          </w:tcPr>
          <w:p w14:paraId="36ED6E8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10.00 [7.40, 13.50]</w:t>
            </w:r>
          </w:p>
        </w:tc>
        <w:tc>
          <w:tcPr>
            <w:tcW w:w="1644" w:type="dxa"/>
            <w:vAlign w:val="center"/>
          </w:tcPr>
          <w:p w14:paraId="657D762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10.30 [7.50, 14.00]</w:t>
            </w:r>
          </w:p>
        </w:tc>
        <w:tc>
          <w:tcPr>
            <w:tcW w:w="1644" w:type="dxa"/>
            <w:vAlign w:val="center"/>
          </w:tcPr>
          <w:p w14:paraId="0DBF34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11.10 [7.81, 15.40]</w:t>
            </w:r>
          </w:p>
        </w:tc>
      </w:tr>
    </w:tbl>
    <w:p w14:paraId="4557CAE6">
      <w:pPr>
        <w:rPr>
          <w:rFonts w:hint="default" w:ascii="Times New Roman" w:hAnsi="Times New Roman" w:cs="Times New Roman"/>
          <w:sz w:val="22"/>
          <w:szCs w:val="22"/>
        </w:rPr>
      </w:pPr>
      <w:r>
        <w:t>Values are mean (SD), median [IQR], or n (%). Quartiles are defined within the LM12h cohort (Q1 reference).</w:t>
      </w:r>
    </w:p>
    <w:p w14:paraId="77356454">
      <w:pPr>
        <w:rPr>
          <w:rFonts w:hint="default" w:ascii="Times New Roman" w:hAnsi="Times New Roman" w:cs="Times New Roman"/>
          <w:sz w:val="22"/>
          <w:szCs w:val="22"/>
        </w:rPr>
      </w:pPr>
    </w:p>
    <w:p w14:paraId="47235971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S9</w:t>
      </w:r>
      <w:r>
        <w:rPr>
          <w:rFonts w:hint="default" w:ascii="Times New Roman" w:hAnsi="Times New Roman" w:cs="Times New Roman"/>
          <w:b/>
          <w:sz w:val="22"/>
          <w:szCs w:val="22"/>
        </w:rPr>
        <w:t>. Baseline characteristics by 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quartiles (LM24h cohort).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1398"/>
        <w:gridCol w:w="1398"/>
        <w:gridCol w:w="1398"/>
        <w:gridCol w:w="1398"/>
      </w:tblGrid>
      <w:tr w14:paraId="2C42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46A64D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1644" w:type="dxa"/>
            <w:vAlign w:val="center"/>
          </w:tcPr>
          <w:p w14:paraId="12E6602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Q1</w:t>
            </w:r>
          </w:p>
        </w:tc>
        <w:tc>
          <w:tcPr>
            <w:tcW w:w="1644" w:type="dxa"/>
            <w:vAlign w:val="center"/>
          </w:tcPr>
          <w:p w14:paraId="2D7E70A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</w:t>
            </w:r>
          </w:p>
        </w:tc>
        <w:tc>
          <w:tcPr>
            <w:tcW w:w="1644" w:type="dxa"/>
            <w:vAlign w:val="center"/>
          </w:tcPr>
          <w:p w14:paraId="7BD5A41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</w:t>
            </w:r>
          </w:p>
        </w:tc>
        <w:tc>
          <w:tcPr>
            <w:tcW w:w="1644" w:type="dxa"/>
            <w:vAlign w:val="center"/>
          </w:tcPr>
          <w:p w14:paraId="392135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</w:t>
            </w:r>
          </w:p>
        </w:tc>
      </w:tr>
      <w:tr w14:paraId="6E65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6133C9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644" w:type="dxa"/>
            <w:vAlign w:val="center"/>
          </w:tcPr>
          <w:p w14:paraId="0415C57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6.00 [5.00, 7.00]</w:t>
            </w:r>
          </w:p>
        </w:tc>
        <w:tc>
          <w:tcPr>
            <w:tcW w:w="1644" w:type="dxa"/>
            <w:vAlign w:val="center"/>
          </w:tcPr>
          <w:p w14:paraId="46D1647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9.00 [9.00, 10.00]</w:t>
            </w:r>
          </w:p>
        </w:tc>
        <w:tc>
          <w:tcPr>
            <w:tcW w:w="1644" w:type="dxa"/>
            <w:vAlign w:val="center"/>
          </w:tcPr>
          <w:p w14:paraId="1CFF515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12.00 [11.00, 13.00]</w:t>
            </w:r>
          </w:p>
        </w:tc>
        <w:tc>
          <w:tcPr>
            <w:tcW w:w="1644" w:type="dxa"/>
            <w:vAlign w:val="center"/>
          </w:tcPr>
          <w:p w14:paraId="29429C3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16.10 [15.00, 19.00]</w:t>
            </w:r>
          </w:p>
        </w:tc>
      </w:tr>
      <w:tr w14:paraId="78B09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8AA15C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644" w:type="dxa"/>
            <w:vAlign w:val="center"/>
          </w:tcPr>
          <w:p w14:paraId="1897E64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66.00 [54.00, 76.00]</w:t>
            </w:r>
          </w:p>
        </w:tc>
        <w:tc>
          <w:tcPr>
            <w:tcW w:w="1644" w:type="dxa"/>
            <w:vAlign w:val="center"/>
          </w:tcPr>
          <w:p w14:paraId="19FC869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66.00 [54.00, 77.00]</w:t>
            </w:r>
          </w:p>
        </w:tc>
        <w:tc>
          <w:tcPr>
            <w:tcW w:w="1644" w:type="dxa"/>
            <w:vAlign w:val="center"/>
          </w:tcPr>
          <w:p w14:paraId="03771D5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65.00 [53.00, 77.00]</w:t>
            </w:r>
          </w:p>
        </w:tc>
        <w:tc>
          <w:tcPr>
            <w:tcW w:w="1644" w:type="dxa"/>
            <w:vAlign w:val="center"/>
          </w:tcPr>
          <w:p w14:paraId="3111DC2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64.00 [51.00, 75.00]</w:t>
            </w:r>
          </w:p>
        </w:tc>
      </w:tr>
      <w:tr w14:paraId="3B8B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3EF070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APACHE total score</w:t>
            </w:r>
          </w:p>
        </w:tc>
        <w:tc>
          <w:tcPr>
            <w:tcW w:w="1644" w:type="dxa"/>
            <w:vAlign w:val="center"/>
          </w:tcPr>
          <w:p w14:paraId="2BCF2F9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48.00 [36.00, 62.00]</w:t>
            </w:r>
          </w:p>
        </w:tc>
        <w:tc>
          <w:tcPr>
            <w:tcW w:w="1644" w:type="dxa"/>
            <w:vAlign w:val="center"/>
          </w:tcPr>
          <w:p w14:paraId="291EBF7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49.00 [37.00, 65.00]</w:t>
            </w:r>
          </w:p>
        </w:tc>
        <w:tc>
          <w:tcPr>
            <w:tcW w:w="1644" w:type="dxa"/>
            <w:vAlign w:val="center"/>
          </w:tcPr>
          <w:p w14:paraId="4945D7C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51.00 [37.00, 68.00]</w:t>
            </w:r>
          </w:p>
        </w:tc>
        <w:tc>
          <w:tcPr>
            <w:tcW w:w="1644" w:type="dxa"/>
            <w:vAlign w:val="center"/>
          </w:tcPr>
          <w:p w14:paraId="379A636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59.00 [42.00, 80.00]</w:t>
            </w:r>
          </w:p>
        </w:tc>
      </w:tr>
      <w:tr w14:paraId="1D7B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37DCF09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BUN min (0-24h)</w:t>
            </w:r>
          </w:p>
        </w:tc>
        <w:tc>
          <w:tcPr>
            <w:tcW w:w="1644" w:type="dxa"/>
            <w:vAlign w:val="center"/>
          </w:tcPr>
          <w:p w14:paraId="5555EDD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15.00 [11.00, 23.00]</w:t>
            </w:r>
          </w:p>
        </w:tc>
        <w:tc>
          <w:tcPr>
            <w:tcW w:w="1644" w:type="dxa"/>
            <w:vAlign w:val="center"/>
          </w:tcPr>
          <w:p w14:paraId="561987F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16.00 [11.00, 25.00]</w:t>
            </w:r>
          </w:p>
        </w:tc>
        <w:tc>
          <w:tcPr>
            <w:tcW w:w="1644" w:type="dxa"/>
            <w:vAlign w:val="center"/>
          </w:tcPr>
          <w:p w14:paraId="08CDB63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17.00 [12.00, 28.00]</w:t>
            </w:r>
          </w:p>
        </w:tc>
        <w:tc>
          <w:tcPr>
            <w:tcW w:w="1644" w:type="dxa"/>
            <w:vAlign w:val="center"/>
          </w:tcPr>
          <w:p w14:paraId="1B83C8D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22.00 [13.00, 41.00]</w:t>
            </w:r>
          </w:p>
        </w:tc>
      </w:tr>
      <w:tr w14:paraId="49CDA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F366C9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 min (0-24h)</w:t>
            </w:r>
          </w:p>
        </w:tc>
        <w:tc>
          <w:tcPr>
            <w:tcW w:w="1644" w:type="dxa"/>
            <w:vAlign w:val="center"/>
          </w:tcPr>
          <w:p w14:paraId="20DF34C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0.83 [0.67, 1.09]</w:t>
            </w:r>
          </w:p>
        </w:tc>
        <w:tc>
          <w:tcPr>
            <w:tcW w:w="1644" w:type="dxa"/>
            <w:vAlign w:val="center"/>
          </w:tcPr>
          <w:p w14:paraId="57D499B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0.90 [0.70, 1.22]</w:t>
            </w:r>
          </w:p>
        </w:tc>
        <w:tc>
          <w:tcPr>
            <w:tcW w:w="1644" w:type="dxa"/>
            <w:vAlign w:val="center"/>
          </w:tcPr>
          <w:p w14:paraId="4EF58AF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0.95 [0.72, 1.39]</w:t>
            </w:r>
          </w:p>
        </w:tc>
        <w:tc>
          <w:tcPr>
            <w:tcW w:w="1644" w:type="dxa"/>
            <w:vAlign w:val="center"/>
          </w:tcPr>
          <w:p w14:paraId="255F532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1.18 [0.80, 2.20]</w:t>
            </w:r>
          </w:p>
        </w:tc>
      </w:tr>
      <w:tr w14:paraId="5FEC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ADA95C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644" w:type="dxa"/>
            <w:vAlign w:val="center"/>
          </w:tcPr>
          <w:p w14:paraId="0ACB7E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10423 (44.4%)</w:t>
            </w:r>
          </w:p>
        </w:tc>
        <w:tc>
          <w:tcPr>
            <w:tcW w:w="1644" w:type="dxa"/>
            <w:vAlign w:val="center"/>
          </w:tcPr>
          <w:p w14:paraId="61CAD71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10798 (46.0%)</w:t>
            </w:r>
          </w:p>
        </w:tc>
        <w:tc>
          <w:tcPr>
            <w:tcW w:w="1644" w:type="dxa"/>
            <w:vAlign w:val="center"/>
          </w:tcPr>
          <w:p w14:paraId="27DD2A2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10754 (45.8%)</w:t>
            </w:r>
          </w:p>
        </w:tc>
        <w:tc>
          <w:tcPr>
            <w:tcW w:w="1644" w:type="dxa"/>
            <w:vAlign w:val="center"/>
          </w:tcPr>
          <w:p w14:paraId="390B16F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10886 (46.4%)</w:t>
            </w:r>
          </w:p>
        </w:tc>
      </w:tr>
      <w:tr w14:paraId="5F62C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3A81C4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Heart rate mean (0-24h)</w:t>
            </w:r>
          </w:p>
        </w:tc>
        <w:tc>
          <w:tcPr>
            <w:tcW w:w="1644" w:type="dxa"/>
            <w:vAlign w:val="center"/>
          </w:tcPr>
          <w:p w14:paraId="0F99EA5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80.35 [70.55, 91.14]</w:t>
            </w:r>
          </w:p>
        </w:tc>
        <w:tc>
          <w:tcPr>
            <w:tcW w:w="1644" w:type="dxa"/>
            <w:vAlign w:val="center"/>
          </w:tcPr>
          <w:p w14:paraId="2A20A16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81.65 [71.50, 93.11]</w:t>
            </w:r>
          </w:p>
        </w:tc>
        <w:tc>
          <w:tcPr>
            <w:tcW w:w="1644" w:type="dxa"/>
            <w:vAlign w:val="center"/>
          </w:tcPr>
          <w:p w14:paraId="402E63B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82.82 [72.43, 94.63]</w:t>
            </w:r>
          </w:p>
        </w:tc>
        <w:tc>
          <w:tcPr>
            <w:tcW w:w="1644" w:type="dxa"/>
            <w:vAlign w:val="center"/>
          </w:tcPr>
          <w:p w14:paraId="5953A7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87.32 [75.75, 99.64]</w:t>
            </w:r>
          </w:p>
        </w:tc>
      </w:tr>
      <w:tr w14:paraId="707E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B538BF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MAP/MAP mean (0-24h)</w:t>
            </w:r>
          </w:p>
        </w:tc>
        <w:tc>
          <w:tcPr>
            <w:tcW w:w="1644" w:type="dxa"/>
            <w:vAlign w:val="center"/>
          </w:tcPr>
          <w:p w14:paraId="29B64F9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80.28 [72.69, 89.56]</w:t>
            </w:r>
          </w:p>
        </w:tc>
        <w:tc>
          <w:tcPr>
            <w:tcW w:w="1644" w:type="dxa"/>
            <w:vAlign w:val="center"/>
          </w:tcPr>
          <w:p w14:paraId="40F2E60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80.75 [72.78, 90.32]</w:t>
            </w:r>
          </w:p>
        </w:tc>
        <w:tc>
          <w:tcPr>
            <w:tcW w:w="1644" w:type="dxa"/>
            <w:vAlign w:val="center"/>
          </w:tcPr>
          <w:p w14:paraId="1F5BF6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81.36 [72.94, 91.46]</w:t>
            </w:r>
          </w:p>
        </w:tc>
        <w:tc>
          <w:tcPr>
            <w:tcW w:w="1644" w:type="dxa"/>
            <w:vAlign w:val="center"/>
          </w:tcPr>
          <w:p w14:paraId="4799B3C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79.28 [71.15, 89.87]</w:t>
            </w:r>
          </w:p>
        </w:tc>
      </w:tr>
      <w:tr w14:paraId="50AC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24CA424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28-day in-hospital mortality (proxy)</w:t>
            </w:r>
          </w:p>
        </w:tc>
        <w:tc>
          <w:tcPr>
            <w:tcW w:w="1644" w:type="dxa"/>
            <w:vAlign w:val="center"/>
          </w:tcPr>
          <w:p w14:paraId="1AE35D2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955 (4.1%)</w:t>
            </w:r>
          </w:p>
        </w:tc>
        <w:tc>
          <w:tcPr>
            <w:tcW w:w="1644" w:type="dxa"/>
            <w:vAlign w:val="center"/>
          </w:tcPr>
          <w:p w14:paraId="0C32D91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1323 (5.6%)</w:t>
            </w:r>
          </w:p>
        </w:tc>
        <w:tc>
          <w:tcPr>
            <w:tcW w:w="1644" w:type="dxa"/>
            <w:vAlign w:val="center"/>
          </w:tcPr>
          <w:p w14:paraId="5AAFF5C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1706 (7.3%)</w:t>
            </w:r>
          </w:p>
        </w:tc>
        <w:tc>
          <w:tcPr>
            <w:tcW w:w="1644" w:type="dxa"/>
            <w:vAlign w:val="center"/>
          </w:tcPr>
          <w:p w14:paraId="13CDF5B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3388 (14.4%)</w:t>
            </w:r>
          </w:p>
        </w:tc>
      </w:tr>
      <w:tr w14:paraId="20D3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47E1428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Platelets min (0-24h)</w:t>
            </w:r>
          </w:p>
        </w:tc>
        <w:tc>
          <w:tcPr>
            <w:tcW w:w="1644" w:type="dxa"/>
            <w:vAlign w:val="center"/>
          </w:tcPr>
          <w:p w14:paraId="7B66108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181.00 [136.00, 233.00]</w:t>
            </w:r>
          </w:p>
        </w:tc>
        <w:tc>
          <w:tcPr>
            <w:tcW w:w="1644" w:type="dxa"/>
            <w:vAlign w:val="center"/>
          </w:tcPr>
          <w:p w14:paraId="17E16FB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186.00 [140.00, 242.00]</w:t>
            </w:r>
          </w:p>
        </w:tc>
        <w:tc>
          <w:tcPr>
            <w:tcW w:w="1644" w:type="dxa"/>
            <w:vAlign w:val="center"/>
          </w:tcPr>
          <w:p w14:paraId="769A412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189.00 [140.00, 244.00]</w:t>
            </w:r>
          </w:p>
        </w:tc>
        <w:tc>
          <w:tcPr>
            <w:tcW w:w="1644" w:type="dxa"/>
            <w:vAlign w:val="center"/>
          </w:tcPr>
          <w:p w14:paraId="28FEAF9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188.00 [132.00, 248.00]</w:t>
            </w:r>
          </w:p>
        </w:tc>
      </w:tr>
      <w:tr w14:paraId="5447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62DDB65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Respiratory rate mean (0-24h)</w:t>
            </w:r>
          </w:p>
        </w:tc>
        <w:tc>
          <w:tcPr>
            <w:tcW w:w="1644" w:type="dxa"/>
            <w:vAlign w:val="center"/>
          </w:tcPr>
          <w:p w14:paraId="109D7BE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18.22 [15.99, 21.28]</w:t>
            </w:r>
          </w:p>
        </w:tc>
        <w:tc>
          <w:tcPr>
            <w:tcW w:w="1644" w:type="dxa"/>
            <w:vAlign w:val="center"/>
          </w:tcPr>
          <w:p w14:paraId="6A0ED90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18.55 [16.14, 21.68]</w:t>
            </w:r>
          </w:p>
        </w:tc>
        <w:tc>
          <w:tcPr>
            <w:tcW w:w="1644" w:type="dxa"/>
            <w:vAlign w:val="center"/>
          </w:tcPr>
          <w:p w14:paraId="2EC459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18.65 [16.18, 21.84]</w:t>
            </w:r>
          </w:p>
        </w:tc>
        <w:tc>
          <w:tcPr>
            <w:tcW w:w="1644" w:type="dxa"/>
            <w:vAlign w:val="center"/>
          </w:tcPr>
          <w:p w14:paraId="50D462B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19.26 [16.43, 22.83]</w:t>
            </w:r>
          </w:p>
        </w:tc>
      </w:tr>
      <w:tr w14:paraId="060B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32CE0E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SaO2 mean (0-24h)</w:t>
            </w:r>
          </w:p>
        </w:tc>
        <w:tc>
          <w:tcPr>
            <w:tcW w:w="1644" w:type="dxa"/>
            <w:vAlign w:val="center"/>
          </w:tcPr>
          <w:p w14:paraId="023FA04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97.00 [95.51, 98.37]</w:t>
            </w:r>
          </w:p>
        </w:tc>
        <w:tc>
          <w:tcPr>
            <w:tcW w:w="1644" w:type="dxa"/>
            <w:vAlign w:val="center"/>
          </w:tcPr>
          <w:p w14:paraId="01879CE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97.02 [95.58, 98.37]</w:t>
            </w:r>
          </w:p>
        </w:tc>
        <w:tc>
          <w:tcPr>
            <w:tcW w:w="1644" w:type="dxa"/>
            <w:vAlign w:val="center"/>
          </w:tcPr>
          <w:p w14:paraId="596D19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96.97 [95.49, 98.39]</w:t>
            </w:r>
          </w:p>
        </w:tc>
        <w:tc>
          <w:tcPr>
            <w:tcW w:w="1644" w:type="dxa"/>
            <w:vAlign w:val="center"/>
          </w:tcPr>
          <w:p w14:paraId="26CA4F2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97.05 [95.41, 98.50]</w:t>
            </w:r>
          </w:p>
        </w:tc>
      </w:tr>
      <w:tr w14:paraId="30F8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95D0F5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WBC min (0-24h)</w:t>
            </w:r>
          </w:p>
        </w:tc>
        <w:tc>
          <w:tcPr>
            <w:tcW w:w="1644" w:type="dxa"/>
            <w:vAlign w:val="center"/>
          </w:tcPr>
          <w:p w14:paraId="5ADD1B9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9.50 [7.10, 12.70]</w:t>
            </w:r>
          </w:p>
        </w:tc>
        <w:tc>
          <w:tcPr>
            <w:tcW w:w="1644" w:type="dxa"/>
            <w:vAlign w:val="center"/>
          </w:tcPr>
          <w:p w14:paraId="24F742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9.90 [7.40, 13.20]</w:t>
            </w:r>
          </w:p>
        </w:tc>
        <w:tc>
          <w:tcPr>
            <w:tcW w:w="1644" w:type="dxa"/>
            <w:vAlign w:val="center"/>
          </w:tcPr>
          <w:p w14:paraId="2FD880F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10.10 [7.50, 13.60]</w:t>
            </w:r>
          </w:p>
        </w:tc>
        <w:tc>
          <w:tcPr>
            <w:tcW w:w="1644" w:type="dxa"/>
            <w:vAlign w:val="center"/>
          </w:tcPr>
          <w:p w14:paraId="2A48DC5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11.00 [7.80, 15.26]</w:t>
            </w:r>
          </w:p>
        </w:tc>
      </w:tr>
    </w:tbl>
    <w:p w14:paraId="7E1956C5">
      <w:pPr>
        <w:rPr>
          <w:rFonts w:hint="default" w:ascii="Times New Roman" w:hAnsi="Times New Roman" w:cs="Times New Roman"/>
          <w:sz w:val="22"/>
          <w:szCs w:val="22"/>
        </w:rPr>
      </w:pPr>
      <w:r>
        <w:t>Values are mean (SD), median [IQR], or n (%). Quartiles are defined within the LM24h cohort (Q1 reference).</w:t>
      </w:r>
    </w:p>
    <w:p w14:paraId="77954A9A">
      <w:pPr>
        <w:rPr>
          <w:rFonts w:hint="default" w:ascii="Times New Roman" w:hAnsi="Times New Roman" w:cs="Times New Roman"/>
          <w:sz w:val="22"/>
          <w:szCs w:val="22"/>
        </w:rPr>
      </w:pPr>
    </w:p>
    <w:p w14:paraId="2DF0B024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S10</w:t>
      </w:r>
      <w:r>
        <w:rPr>
          <w:rFonts w:hint="default" w:ascii="Times New Roman" w:hAnsi="Times New Roman" w:cs="Times New Roman"/>
          <w:b/>
          <w:sz w:val="22"/>
          <w:szCs w:val="22"/>
        </w:rPr>
        <w:t>. Baseline characteristics by cAGmax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quartiles (LM24h cAG subset).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1392"/>
        <w:gridCol w:w="1392"/>
        <w:gridCol w:w="1392"/>
        <w:gridCol w:w="1392"/>
      </w:tblGrid>
      <w:tr w14:paraId="367E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A36E2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1644" w:type="dxa"/>
            <w:vAlign w:val="center"/>
          </w:tcPr>
          <w:p w14:paraId="08ECC67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Q1</w:t>
            </w:r>
          </w:p>
        </w:tc>
        <w:tc>
          <w:tcPr>
            <w:tcW w:w="1644" w:type="dxa"/>
            <w:vAlign w:val="center"/>
          </w:tcPr>
          <w:p w14:paraId="095AB4C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</w:t>
            </w:r>
          </w:p>
        </w:tc>
        <w:tc>
          <w:tcPr>
            <w:tcW w:w="1644" w:type="dxa"/>
            <w:vAlign w:val="center"/>
          </w:tcPr>
          <w:p w14:paraId="14627EA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</w:t>
            </w:r>
          </w:p>
        </w:tc>
        <w:tc>
          <w:tcPr>
            <w:tcW w:w="1644" w:type="dxa"/>
            <w:vAlign w:val="center"/>
          </w:tcPr>
          <w:p w14:paraId="3382FEE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</w:t>
            </w:r>
          </w:p>
        </w:tc>
      </w:tr>
      <w:tr w14:paraId="4CDC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D5CB06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644" w:type="dxa"/>
            <w:vAlign w:val="center"/>
          </w:tcPr>
          <w:p w14:paraId="3BBDE10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63.00 [51.00, 75.00]</w:t>
            </w:r>
          </w:p>
        </w:tc>
        <w:tc>
          <w:tcPr>
            <w:tcW w:w="1644" w:type="dxa"/>
            <w:vAlign w:val="center"/>
          </w:tcPr>
          <w:p w14:paraId="30D2894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65.00 [53.00, 76.00]</w:t>
            </w:r>
          </w:p>
        </w:tc>
        <w:tc>
          <w:tcPr>
            <w:tcW w:w="1644" w:type="dxa"/>
            <w:vAlign w:val="center"/>
          </w:tcPr>
          <w:p w14:paraId="628C3CF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65.00 [52.00, 76.00]</w:t>
            </w:r>
          </w:p>
        </w:tc>
        <w:tc>
          <w:tcPr>
            <w:tcW w:w="1644" w:type="dxa"/>
            <w:vAlign w:val="center"/>
          </w:tcPr>
          <w:p w14:paraId="0BE2151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64.00 [52.00, 76.00]</w:t>
            </w:r>
          </w:p>
        </w:tc>
      </w:tr>
      <w:tr w14:paraId="55B3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1CF2A73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albumin_24h</w:t>
            </w:r>
          </w:p>
        </w:tc>
        <w:tc>
          <w:tcPr>
            <w:tcW w:w="1644" w:type="dxa"/>
            <w:vAlign w:val="center"/>
          </w:tcPr>
          <w:p w14:paraId="7D57B3D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3.20 [2.80, 3.60]</w:t>
            </w:r>
          </w:p>
        </w:tc>
        <w:tc>
          <w:tcPr>
            <w:tcW w:w="1644" w:type="dxa"/>
            <w:vAlign w:val="center"/>
          </w:tcPr>
          <w:p w14:paraId="2B3151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3.00 [2.50, 3.40]</w:t>
            </w:r>
          </w:p>
        </w:tc>
        <w:tc>
          <w:tcPr>
            <w:tcW w:w="1644" w:type="dxa"/>
            <w:vAlign w:val="center"/>
          </w:tcPr>
          <w:p w14:paraId="599AC8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2.80 [2.40, 3.30]</w:t>
            </w:r>
          </w:p>
        </w:tc>
        <w:tc>
          <w:tcPr>
            <w:tcW w:w="1644" w:type="dxa"/>
            <w:vAlign w:val="center"/>
          </w:tcPr>
          <w:p w14:paraId="1325073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2.60 [2.10, 3.20]</w:t>
            </w:r>
          </w:p>
        </w:tc>
      </w:tr>
      <w:tr w14:paraId="275C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290A21B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APACHE total score</w:t>
            </w:r>
          </w:p>
        </w:tc>
        <w:tc>
          <w:tcPr>
            <w:tcW w:w="1644" w:type="dxa"/>
            <w:vAlign w:val="center"/>
          </w:tcPr>
          <w:p w14:paraId="309F7D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46.00 [35.00, 61.00]</w:t>
            </w:r>
          </w:p>
        </w:tc>
        <w:tc>
          <w:tcPr>
            <w:tcW w:w="1644" w:type="dxa"/>
            <w:vAlign w:val="center"/>
          </w:tcPr>
          <w:p w14:paraId="1E4F009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53.00 [39.00, 70.00]</w:t>
            </w:r>
          </w:p>
        </w:tc>
        <w:tc>
          <w:tcPr>
            <w:tcW w:w="1644" w:type="dxa"/>
            <w:vAlign w:val="center"/>
          </w:tcPr>
          <w:p w14:paraId="323BEA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57.00 [42.00, 76.00]</w:t>
            </w:r>
          </w:p>
        </w:tc>
        <w:tc>
          <w:tcPr>
            <w:tcW w:w="1644" w:type="dxa"/>
            <w:vAlign w:val="center"/>
          </w:tcPr>
          <w:p w14:paraId="26B2E8B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71.00 [53.00, 95.00]</w:t>
            </w:r>
          </w:p>
        </w:tc>
      </w:tr>
      <w:tr w14:paraId="55E7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276544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BUN min (0-24h)</w:t>
            </w:r>
          </w:p>
        </w:tc>
        <w:tc>
          <w:tcPr>
            <w:tcW w:w="1644" w:type="dxa"/>
            <w:vAlign w:val="center"/>
          </w:tcPr>
          <w:p w14:paraId="453D877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15.00 [11.00, 22.00]</w:t>
            </w:r>
          </w:p>
        </w:tc>
        <w:tc>
          <w:tcPr>
            <w:tcW w:w="1644" w:type="dxa"/>
            <w:vAlign w:val="center"/>
          </w:tcPr>
          <w:p w14:paraId="24FA336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17.00 [11.00, 27.00]</w:t>
            </w:r>
          </w:p>
        </w:tc>
        <w:tc>
          <w:tcPr>
            <w:tcW w:w="1644" w:type="dxa"/>
            <w:vAlign w:val="center"/>
          </w:tcPr>
          <w:p w14:paraId="02634C8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19.00 [12.00, 33.00]</w:t>
            </w:r>
          </w:p>
        </w:tc>
        <w:tc>
          <w:tcPr>
            <w:tcW w:w="1644" w:type="dxa"/>
            <w:vAlign w:val="center"/>
          </w:tcPr>
          <w:p w14:paraId="71FBED2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28.00 [16.00, 49.00]</w:t>
            </w:r>
          </w:p>
        </w:tc>
      </w:tr>
      <w:tr w14:paraId="40A0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2D31C0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644" w:type="dxa"/>
            <w:vAlign w:val="center"/>
          </w:tcPr>
          <w:p w14:paraId="5195058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9.25 [8.00, 10.25]</w:t>
            </w:r>
          </w:p>
        </w:tc>
        <w:tc>
          <w:tcPr>
            <w:tcW w:w="1644" w:type="dxa"/>
            <w:vAlign w:val="center"/>
          </w:tcPr>
          <w:p w14:paraId="5E79744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12.50 [11.75, 13.25]</w:t>
            </w:r>
          </w:p>
        </w:tc>
        <w:tc>
          <w:tcPr>
            <w:tcW w:w="1644" w:type="dxa"/>
            <w:vAlign w:val="center"/>
          </w:tcPr>
          <w:p w14:paraId="7AD606A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15.50 [14.75, 16.25]</w:t>
            </w:r>
          </w:p>
        </w:tc>
        <w:tc>
          <w:tcPr>
            <w:tcW w:w="1644" w:type="dxa"/>
            <w:vAlign w:val="center"/>
          </w:tcPr>
          <w:p w14:paraId="2CFFA73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20.25 [18.50, 23.25]</w:t>
            </w:r>
          </w:p>
        </w:tc>
      </w:tr>
      <w:tr w14:paraId="024D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606EEF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Creatinine min (0-24h)</w:t>
            </w:r>
          </w:p>
        </w:tc>
        <w:tc>
          <w:tcPr>
            <w:tcW w:w="1644" w:type="dxa"/>
            <w:vAlign w:val="center"/>
          </w:tcPr>
          <w:p w14:paraId="2A07FA8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0.83 [0.67, 1.09]</w:t>
            </w:r>
          </w:p>
        </w:tc>
        <w:tc>
          <w:tcPr>
            <w:tcW w:w="1644" w:type="dxa"/>
            <w:vAlign w:val="center"/>
          </w:tcPr>
          <w:p w14:paraId="53AE775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0.90 [0.70, 1.30]</w:t>
            </w:r>
          </w:p>
        </w:tc>
        <w:tc>
          <w:tcPr>
            <w:tcW w:w="1644" w:type="dxa"/>
            <w:vAlign w:val="center"/>
          </w:tcPr>
          <w:p w14:paraId="18ECD25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[0.72, 1.58]</w:t>
            </w:r>
          </w:p>
        </w:tc>
        <w:tc>
          <w:tcPr>
            <w:tcW w:w="1644" w:type="dxa"/>
            <w:vAlign w:val="center"/>
          </w:tcPr>
          <w:p w14:paraId="265F3B9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1.49 [0.90, 2.80]</w:t>
            </w:r>
          </w:p>
        </w:tc>
      </w:tr>
      <w:tr w14:paraId="6CE9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CA64E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644" w:type="dxa"/>
            <w:vAlign w:val="center"/>
          </w:tcPr>
          <w:p w14:paraId="75A0E95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5288 (43.5%)</w:t>
            </w:r>
          </w:p>
        </w:tc>
        <w:tc>
          <w:tcPr>
            <w:tcW w:w="1644" w:type="dxa"/>
            <w:vAlign w:val="center"/>
          </w:tcPr>
          <w:p w14:paraId="1FE640A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4872 (46.0%)</w:t>
            </w:r>
          </w:p>
        </w:tc>
        <w:tc>
          <w:tcPr>
            <w:tcW w:w="1644" w:type="dxa"/>
            <w:vAlign w:val="center"/>
          </w:tcPr>
          <w:p w14:paraId="2F59BAF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5333 (46.5%)</w:t>
            </w:r>
          </w:p>
        </w:tc>
        <w:tc>
          <w:tcPr>
            <w:tcW w:w="1644" w:type="dxa"/>
            <w:vAlign w:val="center"/>
          </w:tcPr>
          <w:p w14:paraId="1A6096D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5282 (47.0%)</w:t>
            </w:r>
          </w:p>
        </w:tc>
      </w:tr>
      <w:tr w14:paraId="7DC2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AF3D3B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Heart rate mean (0-24h)</w:t>
            </w:r>
          </w:p>
        </w:tc>
        <w:tc>
          <w:tcPr>
            <w:tcW w:w="1644" w:type="dxa"/>
            <w:vAlign w:val="center"/>
          </w:tcPr>
          <w:p w14:paraId="3EECFD1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79.97 [70.13, 91.08]</w:t>
            </w:r>
          </w:p>
        </w:tc>
        <w:tc>
          <w:tcPr>
            <w:tcW w:w="1644" w:type="dxa"/>
            <w:vAlign w:val="center"/>
          </w:tcPr>
          <w:p w14:paraId="4BA4AB8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83.33 [72.62, 94.64]</w:t>
            </w:r>
          </w:p>
        </w:tc>
        <w:tc>
          <w:tcPr>
            <w:tcW w:w="1644" w:type="dxa"/>
            <w:vAlign w:val="center"/>
          </w:tcPr>
          <w:p w14:paraId="4B29285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85.48 [74.64, 97.66]</w:t>
            </w:r>
          </w:p>
        </w:tc>
        <w:tc>
          <w:tcPr>
            <w:tcW w:w="1644" w:type="dxa"/>
            <w:vAlign w:val="center"/>
          </w:tcPr>
          <w:p w14:paraId="715A867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90.88 [79.20, 103.25]</w:t>
            </w:r>
          </w:p>
        </w:tc>
      </w:tr>
      <w:tr w14:paraId="6AC1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7855267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MAP/MAP mean (0-24h)</w:t>
            </w:r>
          </w:p>
        </w:tc>
        <w:tc>
          <w:tcPr>
            <w:tcW w:w="1644" w:type="dxa"/>
            <w:vAlign w:val="center"/>
          </w:tcPr>
          <w:p w14:paraId="6F0B84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82.48 [74.07, 92.06]</w:t>
            </w:r>
          </w:p>
        </w:tc>
        <w:tc>
          <w:tcPr>
            <w:tcW w:w="1644" w:type="dxa"/>
            <w:vAlign w:val="center"/>
          </w:tcPr>
          <w:p w14:paraId="4D24C72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80.76 [72.65, 90.92]</w:t>
            </w:r>
          </w:p>
        </w:tc>
        <w:tc>
          <w:tcPr>
            <w:tcW w:w="1644" w:type="dxa"/>
            <w:vAlign w:val="center"/>
          </w:tcPr>
          <w:p w14:paraId="529A313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79.86 [71.84, 89.96]</w:t>
            </w:r>
          </w:p>
        </w:tc>
        <w:tc>
          <w:tcPr>
            <w:tcW w:w="1644" w:type="dxa"/>
            <w:vAlign w:val="center"/>
          </w:tcPr>
          <w:p w14:paraId="67BFEBA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76.17 [68.91, 86.33]</w:t>
            </w:r>
          </w:p>
        </w:tc>
      </w:tr>
      <w:tr w14:paraId="5BD8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2E3E94C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28-day in-hospital mortality (proxy)</w:t>
            </w:r>
          </w:p>
        </w:tc>
        <w:tc>
          <w:tcPr>
            <w:tcW w:w="1644" w:type="dxa"/>
            <w:vAlign w:val="center"/>
          </w:tcPr>
          <w:p w14:paraId="253E88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485 (4.0%)</w:t>
            </w:r>
          </w:p>
        </w:tc>
        <w:tc>
          <w:tcPr>
            <w:tcW w:w="1644" w:type="dxa"/>
            <w:vAlign w:val="center"/>
          </w:tcPr>
          <w:p w14:paraId="495EAE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718 (6.8%)</w:t>
            </w:r>
          </w:p>
        </w:tc>
        <w:tc>
          <w:tcPr>
            <w:tcW w:w="1644" w:type="dxa"/>
            <w:vAlign w:val="center"/>
          </w:tcPr>
          <w:p w14:paraId="5C23202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1095 (9.5%)</w:t>
            </w:r>
          </w:p>
        </w:tc>
        <w:tc>
          <w:tcPr>
            <w:tcW w:w="1644" w:type="dxa"/>
            <w:vAlign w:val="center"/>
          </w:tcPr>
          <w:p w14:paraId="3BA2A60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2444 (21.7%)</w:t>
            </w:r>
          </w:p>
        </w:tc>
      </w:tr>
      <w:tr w14:paraId="5C69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AAC4B0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Platelets min (0-24h)</w:t>
            </w:r>
          </w:p>
        </w:tc>
        <w:tc>
          <w:tcPr>
            <w:tcW w:w="1644" w:type="dxa"/>
            <w:vAlign w:val="center"/>
          </w:tcPr>
          <w:p w14:paraId="3B3C2F3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187.00 [143.00, 235.00]</w:t>
            </w:r>
          </w:p>
        </w:tc>
        <w:tc>
          <w:tcPr>
            <w:tcW w:w="1644" w:type="dxa"/>
            <w:vAlign w:val="center"/>
          </w:tcPr>
          <w:p w14:paraId="12656C7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185.00 [138.00, 242.00]</w:t>
            </w:r>
          </w:p>
        </w:tc>
        <w:tc>
          <w:tcPr>
            <w:tcW w:w="1644" w:type="dxa"/>
            <w:vAlign w:val="center"/>
          </w:tcPr>
          <w:p w14:paraId="4CE4869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185.00 [131.00, 246.00]</w:t>
            </w:r>
          </w:p>
        </w:tc>
        <w:tc>
          <w:tcPr>
            <w:tcW w:w="1644" w:type="dxa"/>
            <w:vAlign w:val="center"/>
          </w:tcPr>
          <w:p w14:paraId="74FF990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174.00 [114.00, 243.00]</w:t>
            </w:r>
          </w:p>
        </w:tc>
      </w:tr>
      <w:tr w14:paraId="701A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52B178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Respiratory rate mean (0-24h)</w:t>
            </w:r>
          </w:p>
        </w:tc>
        <w:tc>
          <w:tcPr>
            <w:tcW w:w="1644" w:type="dxa"/>
            <w:vAlign w:val="center"/>
          </w:tcPr>
          <w:p w14:paraId="5E8DCBC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18.27 [15.98, 21.26]</w:t>
            </w:r>
          </w:p>
        </w:tc>
        <w:tc>
          <w:tcPr>
            <w:tcW w:w="1644" w:type="dxa"/>
            <w:vAlign w:val="center"/>
          </w:tcPr>
          <w:p w14:paraId="2796608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18.71 [16.22, 21.81]</w:t>
            </w:r>
          </w:p>
        </w:tc>
        <w:tc>
          <w:tcPr>
            <w:tcW w:w="1644" w:type="dxa"/>
            <w:vAlign w:val="center"/>
          </w:tcPr>
          <w:p w14:paraId="55E9F2A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19.18 [16.52, 22.60]</w:t>
            </w:r>
          </w:p>
        </w:tc>
        <w:tc>
          <w:tcPr>
            <w:tcW w:w="1644" w:type="dxa"/>
            <w:vAlign w:val="center"/>
          </w:tcPr>
          <w:p w14:paraId="467B6C3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20.05 [16.84, 23.77]</w:t>
            </w:r>
          </w:p>
        </w:tc>
      </w:tr>
      <w:tr w14:paraId="717D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0DBA77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SaO2 mean (0-24h)</w:t>
            </w:r>
          </w:p>
        </w:tc>
        <w:tc>
          <w:tcPr>
            <w:tcW w:w="1644" w:type="dxa"/>
            <w:vAlign w:val="center"/>
          </w:tcPr>
          <w:p w14:paraId="43CDCA7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97.00 [95.53, 98.37]</w:t>
            </w:r>
          </w:p>
        </w:tc>
        <w:tc>
          <w:tcPr>
            <w:tcW w:w="1644" w:type="dxa"/>
            <w:vAlign w:val="center"/>
          </w:tcPr>
          <w:p w14:paraId="189F38D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97.08 [95.60, 98.48]</w:t>
            </w:r>
          </w:p>
        </w:tc>
        <w:tc>
          <w:tcPr>
            <w:tcW w:w="1644" w:type="dxa"/>
            <w:vAlign w:val="center"/>
          </w:tcPr>
          <w:p w14:paraId="76AC93A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97.07 [95.59, 98.46]</w:t>
            </w:r>
          </w:p>
        </w:tc>
        <w:tc>
          <w:tcPr>
            <w:tcW w:w="1644" w:type="dxa"/>
            <w:vAlign w:val="center"/>
          </w:tcPr>
          <w:p w14:paraId="36ECDA8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97.15 [95.43, 98.63]</w:t>
            </w:r>
          </w:p>
        </w:tc>
      </w:tr>
      <w:tr w14:paraId="621E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5" w:type="dxa"/>
            <w:vAlign w:val="center"/>
          </w:tcPr>
          <w:p w14:paraId="55A8229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WBC min (0-24h)</w:t>
            </w:r>
          </w:p>
        </w:tc>
        <w:tc>
          <w:tcPr>
            <w:tcW w:w="1644" w:type="dxa"/>
            <w:vAlign w:val="center"/>
          </w:tcPr>
          <w:p w14:paraId="0BB542E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9.20 [6.95, 12.39]</w:t>
            </w:r>
          </w:p>
        </w:tc>
        <w:tc>
          <w:tcPr>
            <w:tcW w:w="1644" w:type="dxa"/>
            <w:vAlign w:val="center"/>
          </w:tcPr>
          <w:p w14:paraId="70AA95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9.70 [7.10, 13.20]</w:t>
            </w:r>
          </w:p>
        </w:tc>
        <w:tc>
          <w:tcPr>
            <w:tcW w:w="1644" w:type="dxa"/>
            <w:vAlign w:val="center"/>
          </w:tcPr>
          <w:p w14:paraId="6665FE2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10.30 [7.50, 14.32]</w:t>
            </w:r>
          </w:p>
        </w:tc>
        <w:tc>
          <w:tcPr>
            <w:tcW w:w="1644" w:type="dxa"/>
            <w:vAlign w:val="center"/>
          </w:tcPr>
          <w:p w14:paraId="1AC5E6D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11.50 [7.75, 16.50]</w:t>
            </w:r>
          </w:p>
        </w:tc>
      </w:tr>
    </w:tbl>
    <w:p w14:paraId="2715D53D">
      <w:pPr>
        <w:rPr>
          <w:rFonts w:hint="default" w:ascii="Times New Roman" w:hAnsi="Times New Roman" w:cs="Times New Roman"/>
          <w:b w:val="0"/>
          <w:bCs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>Values are presented as mean (SD), median [IQR], or n (%), as appropriate. Quartiles were defined within each cohort/subset (Q1 reference).</w:t>
      </w:r>
    </w:p>
    <w:p w14:paraId="01858878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S11</w:t>
      </w:r>
      <w:r>
        <w:rPr>
          <w:rFonts w:hint="default" w:ascii="Times New Roman" w:hAnsi="Times New Roman" w:cs="Times New Roman"/>
          <w:b/>
          <w:sz w:val="22"/>
          <w:szCs w:val="22"/>
        </w:rPr>
        <w:t>. Distributional cutpoints for AG and cAG within eICU-CRD cohorts.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34"/>
        <w:gridCol w:w="1549"/>
        <w:gridCol w:w="1134"/>
      </w:tblGrid>
      <w:tr w14:paraId="05B3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1" w:type="dxa"/>
            <w:vAlign w:val="center"/>
          </w:tcPr>
          <w:p w14:paraId="229A1C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cohort</w:t>
            </w:r>
          </w:p>
        </w:tc>
        <w:tc>
          <w:tcPr>
            <w:tcW w:w="1134" w:type="dxa"/>
            <w:vAlign w:val="center"/>
          </w:tcPr>
          <w:p w14:paraId="1687D5B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exposure</w:t>
            </w:r>
          </w:p>
        </w:tc>
        <w:tc>
          <w:tcPr>
            <w:tcW w:w="1134" w:type="dxa"/>
            <w:vAlign w:val="center"/>
          </w:tcPr>
          <w:p w14:paraId="6737554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quantile_label</w:t>
            </w:r>
          </w:p>
        </w:tc>
        <w:tc>
          <w:tcPr>
            <w:tcW w:w="1134" w:type="dxa"/>
            <w:vAlign w:val="center"/>
          </w:tcPr>
          <w:p w14:paraId="1546B8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value</w:t>
            </w:r>
          </w:p>
        </w:tc>
      </w:tr>
      <w:tr w14:paraId="7ED3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3F535F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</w:t>
            </w:r>
          </w:p>
        </w:tc>
        <w:tc>
          <w:tcPr>
            <w:tcW w:w="1134" w:type="dxa"/>
            <w:vAlign w:val="center"/>
          </w:tcPr>
          <w:p w14:paraId="082E672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497112B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Min</w:t>
            </w:r>
          </w:p>
        </w:tc>
        <w:tc>
          <w:tcPr>
            <w:tcW w:w="1134" w:type="dxa"/>
            <w:vAlign w:val="center"/>
          </w:tcPr>
          <w:p w14:paraId="07E378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-15</w:t>
            </w:r>
          </w:p>
        </w:tc>
      </w:tr>
      <w:tr w14:paraId="738C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5C1DDD3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</w:t>
            </w:r>
          </w:p>
        </w:tc>
        <w:tc>
          <w:tcPr>
            <w:tcW w:w="1134" w:type="dxa"/>
            <w:vAlign w:val="center"/>
          </w:tcPr>
          <w:p w14:paraId="57ADDD3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28CD0C7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25th</w:t>
            </w:r>
          </w:p>
        </w:tc>
        <w:tc>
          <w:tcPr>
            <w:tcW w:w="1134" w:type="dxa"/>
            <w:vAlign w:val="center"/>
          </w:tcPr>
          <w:p w14:paraId="44357B1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</w:tr>
      <w:tr w14:paraId="78C8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64DE67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</w:t>
            </w:r>
          </w:p>
        </w:tc>
        <w:tc>
          <w:tcPr>
            <w:tcW w:w="1134" w:type="dxa"/>
            <w:vAlign w:val="center"/>
          </w:tcPr>
          <w:p w14:paraId="0ABB108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2B9E9EC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Median</w:t>
            </w:r>
          </w:p>
        </w:tc>
        <w:tc>
          <w:tcPr>
            <w:tcW w:w="1134" w:type="dxa"/>
            <w:vAlign w:val="center"/>
          </w:tcPr>
          <w:p w14:paraId="27D4B29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14:paraId="24F34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865B36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</w:t>
            </w:r>
          </w:p>
        </w:tc>
        <w:tc>
          <w:tcPr>
            <w:tcW w:w="1134" w:type="dxa"/>
            <w:vAlign w:val="center"/>
          </w:tcPr>
          <w:p w14:paraId="26650DB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52F1AE5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75th</w:t>
            </w:r>
          </w:p>
        </w:tc>
        <w:tc>
          <w:tcPr>
            <w:tcW w:w="1134" w:type="dxa"/>
            <w:vAlign w:val="center"/>
          </w:tcPr>
          <w:p w14:paraId="5A0A9F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14:paraId="1F2A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131914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</w:t>
            </w:r>
          </w:p>
        </w:tc>
        <w:tc>
          <w:tcPr>
            <w:tcW w:w="1134" w:type="dxa"/>
            <w:vAlign w:val="center"/>
          </w:tcPr>
          <w:p w14:paraId="5618BE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33F42F2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Max</w:t>
            </w:r>
          </w:p>
        </w:tc>
        <w:tc>
          <w:tcPr>
            <w:tcW w:w="1134" w:type="dxa"/>
            <w:vAlign w:val="center"/>
          </w:tcPr>
          <w:p w14:paraId="454259D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62</w:t>
            </w:r>
          </w:p>
        </w:tc>
      </w:tr>
      <w:tr w14:paraId="6F39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9F167F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</w:t>
            </w:r>
          </w:p>
        </w:tc>
        <w:tc>
          <w:tcPr>
            <w:tcW w:w="1134" w:type="dxa"/>
            <w:vAlign w:val="center"/>
          </w:tcPr>
          <w:p w14:paraId="73A88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42903A5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Min</w:t>
            </w:r>
          </w:p>
        </w:tc>
        <w:tc>
          <w:tcPr>
            <w:tcW w:w="1134" w:type="dxa"/>
            <w:vAlign w:val="center"/>
          </w:tcPr>
          <w:p w14:paraId="538D2D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-15</w:t>
            </w:r>
          </w:p>
        </w:tc>
      </w:tr>
      <w:tr w14:paraId="0C11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4A92116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</w:t>
            </w:r>
          </w:p>
        </w:tc>
        <w:tc>
          <w:tcPr>
            <w:tcW w:w="1134" w:type="dxa"/>
            <w:vAlign w:val="center"/>
          </w:tcPr>
          <w:p w14:paraId="151ED01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0B786F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25th</w:t>
            </w:r>
          </w:p>
        </w:tc>
        <w:tc>
          <w:tcPr>
            <w:tcW w:w="1134" w:type="dxa"/>
            <w:vAlign w:val="center"/>
          </w:tcPr>
          <w:p w14:paraId="2788C64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</w:tr>
      <w:tr w14:paraId="7D14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ED4B0C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</w:t>
            </w:r>
          </w:p>
        </w:tc>
        <w:tc>
          <w:tcPr>
            <w:tcW w:w="1134" w:type="dxa"/>
            <w:vAlign w:val="center"/>
          </w:tcPr>
          <w:p w14:paraId="4AF1C9D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403AA7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Median</w:t>
            </w:r>
          </w:p>
        </w:tc>
        <w:tc>
          <w:tcPr>
            <w:tcW w:w="1134" w:type="dxa"/>
            <w:vAlign w:val="center"/>
          </w:tcPr>
          <w:p w14:paraId="0B4F756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14:paraId="794D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512B8D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</w:t>
            </w:r>
          </w:p>
        </w:tc>
        <w:tc>
          <w:tcPr>
            <w:tcW w:w="1134" w:type="dxa"/>
            <w:vAlign w:val="center"/>
          </w:tcPr>
          <w:p w14:paraId="5CC8685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06CEB45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75th</w:t>
            </w:r>
          </w:p>
        </w:tc>
        <w:tc>
          <w:tcPr>
            <w:tcW w:w="1134" w:type="dxa"/>
            <w:vAlign w:val="center"/>
          </w:tcPr>
          <w:p w14:paraId="19F1F20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14:paraId="5845B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709B5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</w:t>
            </w:r>
          </w:p>
        </w:tc>
        <w:tc>
          <w:tcPr>
            <w:tcW w:w="1134" w:type="dxa"/>
            <w:vAlign w:val="center"/>
          </w:tcPr>
          <w:p w14:paraId="61E1069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AG</w:t>
            </w:r>
          </w:p>
        </w:tc>
        <w:tc>
          <w:tcPr>
            <w:tcW w:w="1134" w:type="dxa"/>
            <w:vAlign w:val="center"/>
          </w:tcPr>
          <w:p w14:paraId="12E1303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Max</w:t>
            </w:r>
          </w:p>
        </w:tc>
        <w:tc>
          <w:tcPr>
            <w:tcW w:w="1134" w:type="dxa"/>
            <w:vAlign w:val="center"/>
          </w:tcPr>
          <w:p w14:paraId="68A1E46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14:paraId="35177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DD4069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LM24h_cAG</w:t>
            </w:r>
          </w:p>
        </w:tc>
        <w:tc>
          <w:tcPr>
            <w:tcW w:w="1134" w:type="dxa"/>
            <w:vAlign w:val="center"/>
          </w:tcPr>
          <w:p w14:paraId="2932C7A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134" w:type="dxa"/>
            <w:vAlign w:val="center"/>
          </w:tcPr>
          <w:p w14:paraId="1FA8F7A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Min</w:t>
            </w:r>
          </w:p>
        </w:tc>
        <w:tc>
          <w:tcPr>
            <w:tcW w:w="1134" w:type="dxa"/>
            <w:vAlign w:val="center"/>
          </w:tcPr>
          <w:p w14:paraId="070FDF4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-12.7500</w:t>
            </w:r>
          </w:p>
        </w:tc>
      </w:tr>
      <w:tr w14:paraId="0519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613E9C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LM24h_cAG</w:t>
            </w:r>
          </w:p>
        </w:tc>
        <w:tc>
          <w:tcPr>
            <w:tcW w:w="1134" w:type="dxa"/>
            <w:vAlign w:val="center"/>
          </w:tcPr>
          <w:p w14:paraId="442CB89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134" w:type="dxa"/>
            <w:vAlign w:val="center"/>
          </w:tcPr>
          <w:p w14:paraId="7AFF42A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25th</w:t>
            </w:r>
          </w:p>
        </w:tc>
        <w:tc>
          <w:tcPr>
            <w:tcW w:w="1134" w:type="dxa"/>
            <w:vAlign w:val="center"/>
          </w:tcPr>
          <w:p w14:paraId="4B7C822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14:paraId="4261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413E9E1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LM24h_cAG</w:t>
            </w:r>
          </w:p>
        </w:tc>
        <w:tc>
          <w:tcPr>
            <w:tcW w:w="1134" w:type="dxa"/>
            <w:vAlign w:val="center"/>
          </w:tcPr>
          <w:p w14:paraId="38815B3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134" w:type="dxa"/>
            <w:vAlign w:val="center"/>
          </w:tcPr>
          <w:p w14:paraId="6BC2A0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Median</w:t>
            </w:r>
          </w:p>
        </w:tc>
        <w:tc>
          <w:tcPr>
            <w:tcW w:w="1134" w:type="dxa"/>
            <w:vAlign w:val="center"/>
          </w:tcPr>
          <w:p w14:paraId="3508132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13.9000</w:t>
            </w:r>
          </w:p>
        </w:tc>
      </w:tr>
      <w:tr w14:paraId="6CE4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43D32A5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LM24h_cAG</w:t>
            </w:r>
          </w:p>
        </w:tc>
        <w:tc>
          <w:tcPr>
            <w:tcW w:w="1134" w:type="dxa"/>
            <w:vAlign w:val="center"/>
          </w:tcPr>
          <w:p w14:paraId="5FA51DB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134" w:type="dxa"/>
            <w:vAlign w:val="center"/>
          </w:tcPr>
          <w:p w14:paraId="0EDBE64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75th</w:t>
            </w:r>
          </w:p>
        </w:tc>
        <w:tc>
          <w:tcPr>
            <w:tcW w:w="1134" w:type="dxa"/>
            <w:vAlign w:val="center"/>
          </w:tcPr>
          <w:p w14:paraId="1841408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17.2500</w:t>
            </w:r>
          </w:p>
        </w:tc>
      </w:tr>
      <w:tr w14:paraId="5B41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572BE9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LM24h_cAG</w:t>
            </w:r>
          </w:p>
        </w:tc>
        <w:tc>
          <w:tcPr>
            <w:tcW w:w="1134" w:type="dxa"/>
            <w:vAlign w:val="center"/>
          </w:tcPr>
          <w:p w14:paraId="23C6D1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cAG</w:t>
            </w:r>
          </w:p>
        </w:tc>
        <w:tc>
          <w:tcPr>
            <w:tcW w:w="1134" w:type="dxa"/>
            <w:vAlign w:val="center"/>
          </w:tcPr>
          <w:p w14:paraId="131A6B7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Max</w:t>
            </w:r>
          </w:p>
        </w:tc>
        <w:tc>
          <w:tcPr>
            <w:tcW w:w="1134" w:type="dxa"/>
            <w:vAlign w:val="center"/>
          </w:tcPr>
          <w:p w14:paraId="1F92CF1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64.7500</w:t>
            </w:r>
          </w:p>
        </w:tc>
      </w:tr>
    </w:tbl>
    <w:p w14:paraId="64D63E32">
      <w:pPr>
        <w:rPr>
          <w:rFonts w:hint="default" w:ascii="Times New Roman" w:hAnsi="Times New Roman" w:cs="Times New Roman"/>
          <w:sz w:val="22"/>
          <w:szCs w:val="22"/>
        </w:rPr>
      </w:pPr>
      <w:r>
        <w:t xml:space="preserve">Notes: </w:t>
      </w:r>
      <w:r>
        <w:rPr>
          <w:rFonts w:hint="default" w:ascii="Times New Roman" w:hAnsi="Times New Roman" w:cs="Times New Roman"/>
          <w:sz w:val="22"/>
          <w:szCs w:val="22"/>
        </w:rPr>
        <w:t>Distributional cutpoints for AG and cAG within eICU cohorts. Quartiles are defined separately within each cohort to maintain within-cohort comparability in a multicenter database. Because cutpoints are based on raw database-reported values, extreme or nonphysiologic AG/cAG values (including negative values) may be present, likely reflecting recording/unit inconsistencies or laboratory artifacts. To mitigate undue influence on continuous modeling, AG and cAG were winsorized at the 1st and 99th percentiles within each cohort prior to regression/spline analyses (see Methods).</w:t>
      </w:r>
    </w:p>
    <w:p w14:paraId="420C4F27">
      <w:pPr>
        <w:rPr>
          <w:rFonts w:hint="default" w:ascii="Times New Roman" w:hAnsi="Times New Roman" w:cs="Times New Roman"/>
          <w:sz w:val="22"/>
          <w:szCs w:val="22"/>
        </w:rPr>
      </w:pPr>
    </w:p>
    <w:p w14:paraId="2B8FAE18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2"/>
          <w:szCs w:val="22"/>
        </w:rPr>
        <w:t>. LM24h cohort: 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quartiles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132"/>
        <w:gridCol w:w="1153"/>
        <w:gridCol w:w="1583"/>
        <w:gridCol w:w="1583"/>
        <w:gridCol w:w="1583"/>
      </w:tblGrid>
      <w:tr w14:paraId="7B4A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B67A3C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247" w:type="dxa"/>
            <w:vAlign w:val="center"/>
          </w:tcPr>
          <w:p w14:paraId="0D8A50F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247" w:type="dxa"/>
            <w:vAlign w:val="center"/>
          </w:tcPr>
          <w:p w14:paraId="4F764CD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701" w:type="dxa"/>
            <w:vAlign w:val="center"/>
          </w:tcPr>
          <w:p w14:paraId="66454ED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 vs Q1</w:t>
            </w:r>
          </w:p>
        </w:tc>
        <w:tc>
          <w:tcPr>
            <w:tcW w:w="1701" w:type="dxa"/>
            <w:vAlign w:val="center"/>
          </w:tcPr>
          <w:p w14:paraId="704BF1C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 vs Q1</w:t>
            </w:r>
          </w:p>
        </w:tc>
        <w:tc>
          <w:tcPr>
            <w:tcW w:w="1701" w:type="dxa"/>
            <w:vAlign w:val="center"/>
          </w:tcPr>
          <w:p w14:paraId="09F6D9F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</w:t>
            </w:r>
          </w:p>
        </w:tc>
      </w:tr>
      <w:tr w14:paraId="5399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A45233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247" w:type="dxa"/>
            <w:vAlign w:val="center"/>
          </w:tcPr>
          <w:p w14:paraId="15A86E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93917</w:t>
            </w:r>
          </w:p>
        </w:tc>
        <w:tc>
          <w:tcPr>
            <w:tcW w:w="1247" w:type="dxa"/>
            <w:vAlign w:val="center"/>
          </w:tcPr>
          <w:p w14:paraId="6549A3B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7372</w:t>
            </w:r>
          </w:p>
        </w:tc>
        <w:tc>
          <w:tcPr>
            <w:tcW w:w="1701" w:type="dxa"/>
            <w:vAlign w:val="center"/>
          </w:tcPr>
          <w:p w14:paraId="27AF5AD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1.41 (1.25-1.58)</w:t>
            </w:r>
          </w:p>
        </w:tc>
        <w:tc>
          <w:tcPr>
            <w:tcW w:w="1701" w:type="dxa"/>
            <w:vAlign w:val="center"/>
          </w:tcPr>
          <w:p w14:paraId="76EC5EE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1.85 (1.55-2.20)</w:t>
            </w:r>
          </w:p>
        </w:tc>
        <w:tc>
          <w:tcPr>
            <w:tcW w:w="1701" w:type="dxa"/>
            <w:vAlign w:val="center"/>
          </w:tcPr>
          <w:p w14:paraId="0653768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3.98 (3.26-4.85)</w:t>
            </w:r>
          </w:p>
        </w:tc>
      </w:tr>
      <w:tr w14:paraId="6C88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30A172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247" w:type="dxa"/>
            <w:vAlign w:val="center"/>
          </w:tcPr>
          <w:p w14:paraId="280C9B0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93902</w:t>
            </w:r>
          </w:p>
        </w:tc>
        <w:tc>
          <w:tcPr>
            <w:tcW w:w="1247" w:type="dxa"/>
            <w:vAlign w:val="center"/>
          </w:tcPr>
          <w:p w14:paraId="2923497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7372</w:t>
            </w:r>
          </w:p>
        </w:tc>
        <w:tc>
          <w:tcPr>
            <w:tcW w:w="1701" w:type="dxa"/>
            <w:vAlign w:val="center"/>
          </w:tcPr>
          <w:p w14:paraId="0125623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1.40 (1.26-1.57)</w:t>
            </w:r>
          </w:p>
        </w:tc>
        <w:tc>
          <w:tcPr>
            <w:tcW w:w="1701" w:type="dxa"/>
            <w:vAlign w:val="center"/>
          </w:tcPr>
          <w:p w14:paraId="5B5A42E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1.87 (1.57-2.22)</w:t>
            </w:r>
          </w:p>
        </w:tc>
        <w:tc>
          <w:tcPr>
            <w:tcW w:w="1701" w:type="dxa"/>
            <w:vAlign w:val="center"/>
          </w:tcPr>
          <w:p w14:paraId="14918B4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4.22 (3.44-5.18)</w:t>
            </w:r>
          </w:p>
        </w:tc>
      </w:tr>
      <w:tr w14:paraId="2F22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81FCE4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247" w:type="dxa"/>
            <w:vAlign w:val="center"/>
          </w:tcPr>
          <w:p w14:paraId="31A514C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78873</w:t>
            </w:r>
          </w:p>
        </w:tc>
        <w:tc>
          <w:tcPr>
            <w:tcW w:w="1247" w:type="dxa"/>
            <w:vAlign w:val="center"/>
          </w:tcPr>
          <w:p w14:paraId="6CAFDD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6578</w:t>
            </w:r>
          </w:p>
        </w:tc>
        <w:tc>
          <w:tcPr>
            <w:tcW w:w="1701" w:type="dxa"/>
            <w:vAlign w:val="center"/>
          </w:tcPr>
          <w:p w14:paraId="58FEC3C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1.19 (1.07-1.32)</w:t>
            </w:r>
          </w:p>
        </w:tc>
        <w:tc>
          <w:tcPr>
            <w:tcW w:w="1701" w:type="dxa"/>
            <w:vAlign w:val="center"/>
          </w:tcPr>
          <w:p w14:paraId="381AC16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1.43 (1.25-1.63)</w:t>
            </w:r>
          </w:p>
        </w:tc>
        <w:tc>
          <w:tcPr>
            <w:tcW w:w="1701" w:type="dxa"/>
            <w:vAlign w:val="center"/>
          </w:tcPr>
          <w:p w14:paraId="588470B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1.92 (1.67-2.20)</w:t>
            </w:r>
          </w:p>
        </w:tc>
      </w:tr>
      <w:tr w14:paraId="340E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809C74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247" w:type="dxa"/>
            <w:vAlign w:val="center"/>
          </w:tcPr>
          <w:p w14:paraId="2851A89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69270</w:t>
            </w:r>
          </w:p>
        </w:tc>
        <w:tc>
          <w:tcPr>
            <w:tcW w:w="1247" w:type="dxa"/>
            <w:vAlign w:val="center"/>
          </w:tcPr>
          <w:p w14:paraId="1765EDB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5921</w:t>
            </w:r>
          </w:p>
        </w:tc>
        <w:tc>
          <w:tcPr>
            <w:tcW w:w="1701" w:type="dxa"/>
            <w:vAlign w:val="center"/>
          </w:tcPr>
          <w:p w14:paraId="15899D2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1.15 (1.04-1.27)</w:t>
            </w:r>
          </w:p>
        </w:tc>
        <w:tc>
          <w:tcPr>
            <w:tcW w:w="1701" w:type="dxa"/>
            <w:vAlign w:val="center"/>
          </w:tcPr>
          <w:p w14:paraId="31E1884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1.34 (1.18-1.53)</w:t>
            </w:r>
          </w:p>
        </w:tc>
        <w:tc>
          <w:tcPr>
            <w:tcW w:w="1701" w:type="dxa"/>
            <w:vAlign w:val="center"/>
          </w:tcPr>
          <w:p w14:paraId="029603F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1.64 (1.43-1.89)</w:t>
            </w:r>
          </w:p>
        </w:tc>
      </w:tr>
    </w:tbl>
    <w:p w14:paraId="0146D6DD">
      <w:bookmarkStart w:id="0" w:name="_GoBack"/>
      <w:r>
        <w:t>Events denote 28-day in-hospital deaths after the landmark; patients discharged alive before day 28 were treated as survivors. Complete-case counts indicate availability of all Model 3 covariates.</w:t>
      </w:r>
    </w:p>
    <w:bookmarkEnd w:id="0"/>
    <w:p w14:paraId="2AF1A23C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 w:val="22"/>
          <w:szCs w:val="22"/>
        </w:rPr>
        <w:t>. LM24h cohort: continuous 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659"/>
        <w:gridCol w:w="1681"/>
        <w:gridCol w:w="1815"/>
        <w:gridCol w:w="1696"/>
      </w:tblGrid>
      <w:tr w14:paraId="62A1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8DA0A5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949" w:type="dxa"/>
            <w:vAlign w:val="center"/>
          </w:tcPr>
          <w:p w14:paraId="687C895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949" w:type="dxa"/>
            <w:vAlign w:val="center"/>
          </w:tcPr>
          <w:p w14:paraId="6E032DC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949" w:type="dxa"/>
            <w:vAlign w:val="center"/>
          </w:tcPr>
          <w:p w14:paraId="452D682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AGmax_24h per 1 unit, OR (95% CI)</w:t>
            </w:r>
          </w:p>
        </w:tc>
        <w:tc>
          <w:tcPr>
            <w:tcW w:w="1949" w:type="dxa"/>
            <w:vAlign w:val="center"/>
          </w:tcPr>
          <w:p w14:paraId="7A4905C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14:paraId="3F9D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A82EF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949" w:type="dxa"/>
            <w:vAlign w:val="center"/>
          </w:tcPr>
          <w:p w14:paraId="17F390B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93917</w:t>
            </w:r>
          </w:p>
        </w:tc>
        <w:tc>
          <w:tcPr>
            <w:tcW w:w="1949" w:type="dxa"/>
            <w:vAlign w:val="center"/>
          </w:tcPr>
          <w:p w14:paraId="62CEB57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7372</w:t>
            </w:r>
          </w:p>
        </w:tc>
        <w:tc>
          <w:tcPr>
            <w:tcW w:w="1949" w:type="dxa"/>
            <w:vAlign w:val="center"/>
          </w:tcPr>
          <w:p w14:paraId="4D87952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1.12 (1.10-1.14)</w:t>
            </w:r>
          </w:p>
        </w:tc>
        <w:tc>
          <w:tcPr>
            <w:tcW w:w="1949" w:type="dxa"/>
            <w:vAlign w:val="center"/>
          </w:tcPr>
          <w:p w14:paraId="6B6551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6688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24BFA0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949" w:type="dxa"/>
            <w:vAlign w:val="center"/>
          </w:tcPr>
          <w:p w14:paraId="68D2F93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93902</w:t>
            </w:r>
          </w:p>
        </w:tc>
        <w:tc>
          <w:tcPr>
            <w:tcW w:w="1949" w:type="dxa"/>
            <w:vAlign w:val="center"/>
          </w:tcPr>
          <w:p w14:paraId="009E722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7372</w:t>
            </w:r>
          </w:p>
        </w:tc>
        <w:tc>
          <w:tcPr>
            <w:tcW w:w="1949" w:type="dxa"/>
            <w:vAlign w:val="center"/>
          </w:tcPr>
          <w:p w14:paraId="0A023FF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1.13 (1.11-1.15)</w:t>
            </w:r>
          </w:p>
        </w:tc>
        <w:tc>
          <w:tcPr>
            <w:tcW w:w="1949" w:type="dxa"/>
            <w:vAlign w:val="center"/>
          </w:tcPr>
          <w:p w14:paraId="65BCBE9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7E34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55C748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949" w:type="dxa"/>
            <w:vAlign w:val="center"/>
          </w:tcPr>
          <w:p w14:paraId="283D6B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78873</w:t>
            </w:r>
          </w:p>
        </w:tc>
        <w:tc>
          <w:tcPr>
            <w:tcW w:w="1949" w:type="dxa"/>
            <w:vAlign w:val="center"/>
          </w:tcPr>
          <w:p w14:paraId="40681BD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6578</w:t>
            </w:r>
          </w:p>
        </w:tc>
        <w:tc>
          <w:tcPr>
            <w:tcW w:w="1949" w:type="dxa"/>
            <w:vAlign w:val="center"/>
          </w:tcPr>
          <w:p w14:paraId="186556A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1.05 (1.04-1.07)</w:t>
            </w:r>
          </w:p>
        </w:tc>
        <w:tc>
          <w:tcPr>
            <w:tcW w:w="1949" w:type="dxa"/>
            <w:vAlign w:val="center"/>
          </w:tcPr>
          <w:p w14:paraId="119598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0D9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C1428F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949" w:type="dxa"/>
            <w:vAlign w:val="center"/>
          </w:tcPr>
          <w:p w14:paraId="3B48C87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69270</w:t>
            </w:r>
          </w:p>
        </w:tc>
        <w:tc>
          <w:tcPr>
            <w:tcW w:w="1949" w:type="dxa"/>
            <w:vAlign w:val="center"/>
          </w:tcPr>
          <w:p w14:paraId="1C5EB8B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5921</w:t>
            </w:r>
          </w:p>
        </w:tc>
        <w:tc>
          <w:tcPr>
            <w:tcW w:w="1949" w:type="dxa"/>
            <w:vAlign w:val="center"/>
          </w:tcPr>
          <w:p w14:paraId="4A9D57B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1.04 (1.03-1.05)</w:t>
            </w:r>
          </w:p>
        </w:tc>
        <w:tc>
          <w:tcPr>
            <w:tcW w:w="1949" w:type="dxa"/>
            <w:vAlign w:val="center"/>
          </w:tcPr>
          <w:p w14:paraId="3A1B372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2135BC3E">
      <w:pPr>
        <w:rPr>
          <w:rFonts w:hint="default" w:ascii="Times New Roman" w:hAnsi="Times New Roman" w:cs="Times New Roman"/>
          <w:sz w:val="22"/>
          <w:szCs w:val="22"/>
        </w:rPr>
      </w:pPr>
      <w:r>
        <w:t>Events denote 28-day in-hospital deaths after the landmark; patients discharged alive before day 28 were treated as survivors. Complete-case counts indicate availability of all Model 3 covariates.</w:t>
      </w:r>
    </w:p>
    <w:p w14:paraId="4D553172">
      <w:pPr>
        <w:rPr>
          <w:rFonts w:hint="default"/>
        </w:rPr>
      </w:pPr>
    </w:p>
    <w:p w14:paraId="65A3BA8C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 w:val="22"/>
          <w:szCs w:val="22"/>
        </w:rPr>
        <w:t>. LM24h cAG subset: continuous cAGmax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654"/>
        <w:gridCol w:w="1675"/>
        <w:gridCol w:w="1837"/>
        <w:gridCol w:w="1690"/>
      </w:tblGrid>
      <w:tr w14:paraId="3D11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5996347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949" w:type="dxa"/>
            <w:vAlign w:val="center"/>
          </w:tcPr>
          <w:p w14:paraId="144978D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949" w:type="dxa"/>
            <w:vAlign w:val="center"/>
          </w:tcPr>
          <w:p w14:paraId="75A8EBC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949" w:type="dxa"/>
            <w:vAlign w:val="center"/>
          </w:tcPr>
          <w:p w14:paraId="722B7E1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cAGmax_24h per 1 unit, OR (95% CI)</w:t>
            </w:r>
          </w:p>
        </w:tc>
        <w:tc>
          <w:tcPr>
            <w:tcW w:w="1949" w:type="dxa"/>
            <w:vAlign w:val="center"/>
          </w:tcPr>
          <w:p w14:paraId="0F8CB62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14:paraId="39B6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3BB2AFF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949" w:type="dxa"/>
            <w:vAlign w:val="center"/>
          </w:tcPr>
          <w:p w14:paraId="501CD13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45444</w:t>
            </w:r>
          </w:p>
        </w:tc>
        <w:tc>
          <w:tcPr>
            <w:tcW w:w="1949" w:type="dxa"/>
            <w:vAlign w:val="center"/>
          </w:tcPr>
          <w:p w14:paraId="521D6F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4742</w:t>
            </w:r>
          </w:p>
        </w:tc>
        <w:tc>
          <w:tcPr>
            <w:tcW w:w="1949" w:type="dxa"/>
            <w:vAlign w:val="center"/>
          </w:tcPr>
          <w:p w14:paraId="67B45BC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1.14 (1.13-1.15)</w:t>
            </w:r>
          </w:p>
        </w:tc>
        <w:tc>
          <w:tcPr>
            <w:tcW w:w="1949" w:type="dxa"/>
            <w:vAlign w:val="center"/>
          </w:tcPr>
          <w:p w14:paraId="16F50C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44B4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55819ED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949" w:type="dxa"/>
            <w:vAlign w:val="center"/>
          </w:tcPr>
          <w:p w14:paraId="13BDACC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45437</w:t>
            </w:r>
          </w:p>
        </w:tc>
        <w:tc>
          <w:tcPr>
            <w:tcW w:w="1949" w:type="dxa"/>
            <w:vAlign w:val="center"/>
          </w:tcPr>
          <w:p w14:paraId="033B701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4742</w:t>
            </w:r>
          </w:p>
        </w:tc>
        <w:tc>
          <w:tcPr>
            <w:tcW w:w="1949" w:type="dxa"/>
            <w:vAlign w:val="center"/>
          </w:tcPr>
          <w:p w14:paraId="7959A5F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1.15 (1.13-1.16)</w:t>
            </w:r>
          </w:p>
        </w:tc>
        <w:tc>
          <w:tcPr>
            <w:tcW w:w="1949" w:type="dxa"/>
            <w:vAlign w:val="center"/>
          </w:tcPr>
          <w:p w14:paraId="5396113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525D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2FBBA9C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949" w:type="dxa"/>
            <w:vAlign w:val="center"/>
          </w:tcPr>
          <w:p w14:paraId="5DE01B0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38401</w:t>
            </w:r>
          </w:p>
        </w:tc>
        <w:tc>
          <w:tcPr>
            <w:tcW w:w="1949" w:type="dxa"/>
            <w:vAlign w:val="center"/>
          </w:tcPr>
          <w:p w14:paraId="393F852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4234</w:t>
            </w:r>
          </w:p>
        </w:tc>
        <w:tc>
          <w:tcPr>
            <w:tcW w:w="1949" w:type="dxa"/>
            <w:vAlign w:val="center"/>
          </w:tcPr>
          <w:p w14:paraId="473F0BD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1.06 (1.05-1.07)</w:t>
            </w:r>
          </w:p>
        </w:tc>
        <w:tc>
          <w:tcPr>
            <w:tcW w:w="1949" w:type="dxa"/>
            <w:vAlign w:val="center"/>
          </w:tcPr>
          <w:p w14:paraId="2D782F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7152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690014C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949" w:type="dxa"/>
            <w:vAlign w:val="center"/>
          </w:tcPr>
          <w:p w14:paraId="36C7E2E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34790</w:t>
            </w:r>
          </w:p>
        </w:tc>
        <w:tc>
          <w:tcPr>
            <w:tcW w:w="1949" w:type="dxa"/>
            <w:vAlign w:val="center"/>
          </w:tcPr>
          <w:p w14:paraId="53CC113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3871</w:t>
            </w:r>
          </w:p>
        </w:tc>
        <w:tc>
          <w:tcPr>
            <w:tcW w:w="1949" w:type="dxa"/>
            <w:vAlign w:val="center"/>
          </w:tcPr>
          <w:p w14:paraId="0F20FA9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1.05 (1.03-1.06)</w:t>
            </w:r>
          </w:p>
        </w:tc>
        <w:tc>
          <w:tcPr>
            <w:tcW w:w="1949" w:type="dxa"/>
            <w:vAlign w:val="center"/>
          </w:tcPr>
          <w:p w14:paraId="2ADC4A9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1ACD6E4F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eastAsia="宋体"/>
          <w:lang w:eastAsia="zh-CN"/>
        </w:rPr>
        <w:t>Events denote 28-day in-hospital deaths after the landmark; patients discharged alive before day 28 were treated as survivors. Complete-case counts indicate availability of all Model 3 covariates</w:t>
      </w:r>
      <w:r>
        <w:t>.</w:t>
      </w:r>
    </w:p>
    <w:p w14:paraId="6E28C595">
      <w:pPr>
        <w:rPr>
          <w:rFonts w:hint="default" w:ascii="Times New Roman" w:hAnsi="Times New Roman" w:cs="Times New Roman"/>
          <w:sz w:val="22"/>
          <w:szCs w:val="22"/>
        </w:rPr>
      </w:pPr>
    </w:p>
    <w:p w14:paraId="77F70B17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sz w:val="22"/>
          <w:szCs w:val="22"/>
        </w:rPr>
        <w:t>. LM24h cAG subset: cAGmax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24h quartiles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132"/>
        <w:gridCol w:w="1153"/>
        <w:gridCol w:w="1583"/>
        <w:gridCol w:w="1583"/>
        <w:gridCol w:w="1583"/>
      </w:tblGrid>
      <w:tr w14:paraId="00FA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C218CB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247" w:type="dxa"/>
            <w:vAlign w:val="center"/>
          </w:tcPr>
          <w:p w14:paraId="53B9639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247" w:type="dxa"/>
            <w:vAlign w:val="center"/>
          </w:tcPr>
          <w:p w14:paraId="6337B78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701" w:type="dxa"/>
            <w:vAlign w:val="center"/>
          </w:tcPr>
          <w:p w14:paraId="368A8C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 vs Q1</w:t>
            </w:r>
          </w:p>
        </w:tc>
        <w:tc>
          <w:tcPr>
            <w:tcW w:w="1701" w:type="dxa"/>
            <w:vAlign w:val="center"/>
          </w:tcPr>
          <w:p w14:paraId="2B2BEAE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 vs Q1</w:t>
            </w:r>
          </w:p>
        </w:tc>
        <w:tc>
          <w:tcPr>
            <w:tcW w:w="1701" w:type="dxa"/>
            <w:vAlign w:val="center"/>
          </w:tcPr>
          <w:p w14:paraId="498F6F6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</w:t>
            </w:r>
          </w:p>
        </w:tc>
      </w:tr>
      <w:tr w14:paraId="7513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35FDE1F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247" w:type="dxa"/>
            <w:vAlign w:val="center"/>
          </w:tcPr>
          <w:p w14:paraId="3C03393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45444</w:t>
            </w:r>
          </w:p>
        </w:tc>
        <w:tc>
          <w:tcPr>
            <w:tcW w:w="1247" w:type="dxa"/>
            <w:vAlign w:val="center"/>
          </w:tcPr>
          <w:p w14:paraId="5C39501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4742</w:t>
            </w:r>
          </w:p>
        </w:tc>
        <w:tc>
          <w:tcPr>
            <w:tcW w:w="1701" w:type="dxa"/>
            <w:vAlign w:val="center"/>
          </w:tcPr>
          <w:p w14:paraId="23BB408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1.75 (1.54-1.99)</w:t>
            </w:r>
          </w:p>
        </w:tc>
        <w:tc>
          <w:tcPr>
            <w:tcW w:w="1701" w:type="dxa"/>
            <w:vAlign w:val="center"/>
          </w:tcPr>
          <w:p w14:paraId="69877F4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2.54 (2.11-3.06)</w:t>
            </w:r>
          </w:p>
        </w:tc>
        <w:tc>
          <w:tcPr>
            <w:tcW w:w="1701" w:type="dxa"/>
            <w:vAlign w:val="center"/>
          </w:tcPr>
          <w:p w14:paraId="483559F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6.68 (5.54-8.05)</w:t>
            </w:r>
          </w:p>
        </w:tc>
      </w:tr>
      <w:tr w14:paraId="09F3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225F1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247" w:type="dxa"/>
            <w:vAlign w:val="center"/>
          </w:tcPr>
          <w:p w14:paraId="4B201E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45437</w:t>
            </w:r>
          </w:p>
        </w:tc>
        <w:tc>
          <w:tcPr>
            <w:tcW w:w="1247" w:type="dxa"/>
            <w:vAlign w:val="center"/>
          </w:tcPr>
          <w:p w14:paraId="4C22518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4742</w:t>
            </w:r>
          </w:p>
        </w:tc>
        <w:tc>
          <w:tcPr>
            <w:tcW w:w="1701" w:type="dxa"/>
            <w:vAlign w:val="center"/>
          </w:tcPr>
          <w:p w14:paraId="7B807DC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1.71 (1.50-1.94)</w:t>
            </w:r>
          </w:p>
        </w:tc>
        <w:tc>
          <w:tcPr>
            <w:tcW w:w="1701" w:type="dxa"/>
            <w:vAlign w:val="center"/>
          </w:tcPr>
          <w:p w14:paraId="339728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2.49 (2.06-3.00)</w:t>
            </w:r>
          </w:p>
        </w:tc>
        <w:tc>
          <w:tcPr>
            <w:tcW w:w="1701" w:type="dxa"/>
            <w:vAlign w:val="center"/>
          </w:tcPr>
          <w:p w14:paraId="2C31C69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6.75 (5.58-8.16)</w:t>
            </w:r>
          </w:p>
        </w:tc>
      </w:tr>
      <w:tr w14:paraId="7A95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304D25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247" w:type="dxa"/>
            <w:vAlign w:val="center"/>
          </w:tcPr>
          <w:p w14:paraId="4E3C047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38401</w:t>
            </w:r>
          </w:p>
        </w:tc>
        <w:tc>
          <w:tcPr>
            <w:tcW w:w="1247" w:type="dxa"/>
            <w:vAlign w:val="center"/>
          </w:tcPr>
          <w:p w14:paraId="7516A35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4234</w:t>
            </w:r>
          </w:p>
        </w:tc>
        <w:tc>
          <w:tcPr>
            <w:tcW w:w="1701" w:type="dxa"/>
            <w:vAlign w:val="center"/>
          </w:tcPr>
          <w:p w14:paraId="7813F5F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1.27 (1.13-1.43)</w:t>
            </w:r>
          </w:p>
        </w:tc>
        <w:tc>
          <w:tcPr>
            <w:tcW w:w="1701" w:type="dxa"/>
            <w:vAlign w:val="center"/>
          </w:tcPr>
          <w:p w14:paraId="72C34B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1.43 (1.22-1.68)</w:t>
            </w:r>
          </w:p>
        </w:tc>
        <w:tc>
          <w:tcPr>
            <w:tcW w:w="1701" w:type="dxa"/>
            <w:vAlign w:val="center"/>
          </w:tcPr>
          <w:p w14:paraId="1EF941E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2.23 (1.89-2.62)</w:t>
            </w:r>
          </w:p>
        </w:tc>
      </w:tr>
      <w:tr w14:paraId="369D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51C30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247" w:type="dxa"/>
            <w:vAlign w:val="center"/>
          </w:tcPr>
          <w:p w14:paraId="37D0EE5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34790</w:t>
            </w:r>
          </w:p>
        </w:tc>
        <w:tc>
          <w:tcPr>
            <w:tcW w:w="1247" w:type="dxa"/>
            <w:vAlign w:val="center"/>
          </w:tcPr>
          <w:p w14:paraId="296EB54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3871</w:t>
            </w:r>
          </w:p>
        </w:tc>
        <w:tc>
          <w:tcPr>
            <w:tcW w:w="1701" w:type="dxa"/>
            <w:vAlign w:val="center"/>
          </w:tcPr>
          <w:p w14:paraId="6E7342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1.20 (1.05-1.36)</w:t>
            </w:r>
          </w:p>
        </w:tc>
        <w:tc>
          <w:tcPr>
            <w:tcW w:w="1701" w:type="dxa"/>
            <w:vAlign w:val="center"/>
          </w:tcPr>
          <w:p w14:paraId="69E23B3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1.26 (1.07-1.50)</w:t>
            </w:r>
          </w:p>
        </w:tc>
        <w:tc>
          <w:tcPr>
            <w:tcW w:w="1701" w:type="dxa"/>
            <w:vAlign w:val="center"/>
          </w:tcPr>
          <w:p w14:paraId="3F2D49C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1.79 (1.51-2.11)</w:t>
            </w:r>
          </w:p>
        </w:tc>
      </w:tr>
    </w:tbl>
    <w:p w14:paraId="6E55CEC6">
      <w:pPr>
        <w:rPr>
          <w:rFonts w:hint="eastAsia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eastAsia" w:eastAsia="宋体"/>
          <w:lang w:eastAsia="zh-CN"/>
        </w:rPr>
        <w:t>Events denote 28-day in-hospital deaths after the landmark; patients discharged alive before day 28 were treated as survivors. Complete-case counts indicate availability of all Model 3 covariates.</w:t>
      </w:r>
    </w:p>
    <w:p w14:paraId="13AB92E8">
      <w:pPr>
        <w:rPr>
          <w:rFonts w:hint="default" w:ascii="Times New Roman" w:hAnsi="Times New Roman" w:cs="Times New Roman"/>
          <w:sz w:val="22"/>
          <w:szCs w:val="22"/>
        </w:rPr>
      </w:pPr>
    </w:p>
    <w:p w14:paraId="2F6842C9">
      <w:pPr>
        <w:rPr>
          <w:rFonts w:hint="default" w:ascii="Times New Roman" w:hAnsi="Times New Roman" w:cs="Times New Roman"/>
          <w:sz w:val="22"/>
          <w:szCs w:val="22"/>
        </w:rPr>
      </w:pPr>
    </w:p>
    <w:p w14:paraId="21462415">
      <w:pPr>
        <w:rPr>
          <w:rFonts w:hint="default" w:ascii="Times New Roman" w:hAnsi="Times New Roman" w:cs="Times New Roman"/>
          <w:sz w:val="22"/>
          <w:szCs w:val="22"/>
        </w:rPr>
      </w:pPr>
    </w:p>
    <w:p w14:paraId="3A23EFD8">
      <w:pPr>
        <w:rPr>
          <w:rFonts w:hint="default" w:ascii="Times New Roman" w:hAnsi="Times New Roman" w:cs="Times New Roman"/>
          <w:sz w:val="22"/>
          <w:szCs w:val="22"/>
        </w:rPr>
      </w:pPr>
    </w:p>
    <w:p w14:paraId="424F6C72">
      <w:pPr>
        <w:rPr>
          <w:rFonts w:hint="default" w:ascii="Times New Roman" w:hAnsi="Times New Roman" w:cs="Times New Roman"/>
          <w:sz w:val="22"/>
          <w:szCs w:val="22"/>
        </w:rPr>
      </w:pPr>
    </w:p>
    <w:p w14:paraId="2C7DAE7E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22"/>
          <w:szCs w:val="22"/>
        </w:rPr>
        <w:t>. LM12h cohort: continuous AG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first_12h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654"/>
        <w:gridCol w:w="1675"/>
        <w:gridCol w:w="1837"/>
        <w:gridCol w:w="1690"/>
      </w:tblGrid>
      <w:tr w14:paraId="1C9B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4AA909C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949" w:type="dxa"/>
            <w:vAlign w:val="center"/>
          </w:tcPr>
          <w:p w14:paraId="26D10D7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949" w:type="dxa"/>
            <w:vAlign w:val="center"/>
          </w:tcPr>
          <w:p w14:paraId="6B233B5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949" w:type="dxa"/>
            <w:vAlign w:val="center"/>
          </w:tcPr>
          <w:p w14:paraId="34B95D9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AG_first_12h per 1 unit, OR (95% CI)</w:t>
            </w:r>
          </w:p>
        </w:tc>
        <w:tc>
          <w:tcPr>
            <w:tcW w:w="1949" w:type="dxa"/>
            <w:vAlign w:val="center"/>
          </w:tcPr>
          <w:p w14:paraId="5512F4F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14:paraId="0486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779590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949" w:type="dxa"/>
            <w:vAlign w:val="center"/>
          </w:tcPr>
          <w:p w14:paraId="7910A45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68751</w:t>
            </w:r>
          </w:p>
        </w:tc>
        <w:tc>
          <w:tcPr>
            <w:tcW w:w="1949" w:type="dxa"/>
            <w:vAlign w:val="center"/>
          </w:tcPr>
          <w:p w14:paraId="60202B0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6583</w:t>
            </w:r>
          </w:p>
        </w:tc>
        <w:tc>
          <w:tcPr>
            <w:tcW w:w="1949" w:type="dxa"/>
            <w:vAlign w:val="center"/>
          </w:tcPr>
          <w:p w14:paraId="7D0CDBE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1.10 (1.09-1.12)</w:t>
            </w:r>
          </w:p>
        </w:tc>
        <w:tc>
          <w:tcPr>
            <w:tcW w:w="1949" w:type="dxa"/>
            <w:vAlign w:val="center"/>
          </w:tcPr>
          <w:p w14:paraId="35565E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2239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1EDC896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949" w:type="dxa"/>
            <w:vAlign w:val="center"/>
          </w:tcPr>
          <w:p w14:paraId="6E87727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68739</w:t>
            </w:r>
          </w:p>
        </w:tc>
        <w:tc>
          <w:tcPr>
            <w:tcW w:w="1949" w:type="dxa"/>
            <w:vAlign w:val="center"/>
          </w:tcPr>
          <w:p w14:paraId="302C5E3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6583</w:t>
            </w:r>
          </w:p>
        </w:tc>
        <w:tc>
          <w:tcPr>
            <w:tcW w:w="1949" w:type="dxa"/>
            <w:vAlign w:val="center"/>
          </w:tcPr>
          <w:p w14:paraId="7D8D230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1.11 (1.10-1.13)</w:t>
            </w:r>
          </w:p>
        </w:tc>
        <w:tc>
          <w:tcPr>
            <w:tcW w:w="1949" w:type="dxa"/>
            <w:vAlign w:val="center"/>
          </w:tcPr>
          <w:p w14:paraId="4CE2172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3E43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73CD278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949" w:type="dxa"/>
            <w:vAlign w:val="center"/>
          </w:tcPr>
          <w:p w14:paraId="4D7D2C6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59426</w:t>
            </w:r>
          </w:p>
        </w:tc>
        <w:tc>
          <w:tcPr>
            <w:tcW w:w="1949" w:type="dxa"/>
            <w:vAlign w:val="center"/>
          </w:tcPr>
          <w:p w14:paraId="3CE0E9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5898</w:t>
            </w:r>
          </w:p>
        </w:tc>
        <w:tc>
          <w:tcPr>
            <w:tcW w:w="1949" w:type="dxa"/>
            <w:vAlign w:val="center"/>
          </w:tcPr>
          <w:p w14:paraId="4A31563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1.04 (1.03-1.06)</w:t>
            </w:r>
          </w:p>
        </w:tc>
        <w:tc>
          <w:tcPr>
            <w:tcW w:w="1949" w:type="dxa"/>
            <w:vAlign w:val="center"/>
          </w:tcPr>
          <w:p w14:paraId="2E5F34F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14:paraId="5FFA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Align w:val="center"/>
          </w:tcPr>
          <w:p w14:paraId="78877C0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949" w:type="dxa"/>
            <w:vAlign w:val="center"/>
          </w:tcPr>
          <w:p w14:paraId="5A637D7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52423</w:t>
            </w:r>
          </w:p>
        </w:tc>
        <w:tc>
          <w:tcPr>
            <w:tcW w:w="1949" w:type="dxa"/>
            <w:vAlign w:val="center"/>
          </w:tcPr>
          <w:p w14:paraId="09698E5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5297</w:t>
            </w:r>
          </w:p>
        </w:tc>
        <w:tc>
          <w:tcPr>
            <w:tcW w:w="1949" w:type="dxa"/>
            <w:vAlign w:val="center"/>
          </w:tcPr>
          <w:p w14:paraId="5D97928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1.03 (1.02-1.04)</w:t>
            </w:r>
          </w:p>
        </w:tc>
        <w:tc>
          <w:tcPr>
            <w:tcW w:w="1949" w:type="dxa"/>
            <w:vAlign w:val="center"/>
          </w:tcPr>
          <w:p w14:paraId="00A14BC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3A0A740D">
      <w:pPr>
        <w:rPr>
          <w:rFonts w:hint="eastAsia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eastAsia" w:eastAsia="宋体"/>
          <w:lang w:eastAsia="zh-CN"/>
        </w:rPr>
        <w:t>Events denote 28-day in-hospital deaths after the landmark; patients discharged alive before day 28 were treated as survivors. Complete-case counts indicate availability of all Model 3 covariates.</w:t>
      </w:r>
    </w:p>
    <w:p w14:paraId="5B7EFC73">
      <w:pPr>
        <w:rPr>
          <w:rFonts w:hint="default" w:ascii="Times New Roman" w:hAnsi="Times New Roman" w:cs="Times New Roman"/>
          <w:sz w:val="22"/>
          <w:szCs w:val="22"/>
        </w:rPr>
      </w:pPr>
    </w:p>
    <w:p w14:paraId="07560992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S1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sz w:val="22"/>
          <w:szCs w:val="22"/>
        </w:rPr>
        <w:t>. LM12h cohort: AG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first</w:t>
      </w:r>
      <w:r>
        <w:rPr>
          <w:rFonts w:hint="eastAsia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>12h quartiles and 28-day in-hospital mortality (proxy).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132"/>
        <w:gridCol w:w="1153"/>
        <w:gridCol w:w="1583"/>
        <w:gridCol w:w="1583"/>
        <w:gridCol w:w="1583"/>
      </w:tblGrid>
      <w:tr w14:paraId="7EC1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A68400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Model</w:t>
            </w:r>
          </w:p>
        </w:tc>
        <w:tc>
          <w:tcPr>
            <w:tcW w:w="1247" w:type="dxa"/>
            <w:vAlign w:val="center"/>
          </w:tcPr>
          <w:p w14:paraId="5198658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</w:t>
            </w:r>
          </w:p>
        </w:tc>
        <w:tc>
          <w:tcPr>
            <w:tcW w:w="1247" w:type="dxa"/>
            <w:vAlign w:val="center"/>
          </w:tcPr>
          <w:p w14:paraId="105DC4D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Events</w:t>
            </w:r>
          </w:p>
        </w:tc>
        <w:tc>
          <w:tcPr>
            <w:tcW w:w="1701" w:type="dxa"/>
            <w:vAlign w:val="center"/>
          </w:tcPr>
          <w:p w14:paraId="680E377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Q2 vs Q1</w:t>
            </w:r>
          </w:p>
        </w:tc>
        <w:tc>
          <w:tcPr>
            <w:tcW w:w="1701" w:type="dxa"/>
            <w:vAlign w:val="center"/>
          </w:tcPr>
          <w:p w14:paraId="5B73184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Q3 vs Q1</w:t>
            </w:r>
          </w:p>
        </w:tc>
        <w:tc>
          <w:tcPr>
            <w:tcW w:w="1701" w:type="dxa"/>
            <w:vAlign w:val="center"/>
          </w:tcPr>
          <w:p w14:paraId="1A276AD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Q4 vs Q1</w:t>
            </w:r>
          </w:p>
        </w:tc>
      </w:tr>
      <w:tr w14:paraId="2FBE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2F701D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Crude</w:t>
            </w:r>
          </w:p>
        </w:tc>
        <w:tc>
          <w:tcPr>
            <w:tcW w:w="1247" w:type="dxa"/>
            <w:vAlign w:val="center"/>
          </w:tcPr>
          <w:p w14:paraId="7FD34B1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68751</w:t>
            </w:r>
          </w:p>
        </w:tc>
        <w:tc>
          <w:tcPr>
            <w:tcW w:w="1247" w:type="dxa"/>
            <w:vAlign w:val="center"/>
          </w:tcPr>
          <w:p w14:paraId="36F248B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6583</w:t>
            </w:r>
          </w:p>
        </w:tc>
        <w:tc>
          <w:tcPr>
            <w:tcW w:w="1701" w:type="dxa"/>
            <w:vAlign w:val="center"/>
          </w:tcPr>
          <w:p w14:paraId="770670C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1.31 (1.18-1.45)</w:t>
            </w:r>
          </w:p>
        </w:tc>
        <w:tc>
          <w:tcPr>
            <w:tcW w:w="1701" w:type="dxa"/>
            <w:vAlign w:val="center"/>
          </w:tcPr>
          <w:p w14:paraId="2ED2DD2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1.64 (1.40-1.91)</w:t>
            </w:r>
          </w:p>
        </w:tc>
        <w:tc>
          <w:tcPr>
            <w:tcW w:w="1701" w:type="dxa"/>
            <w:vAlign w:val="center"/>
          </w:tcPr>
          <w:p w14:paraId="3191E4D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3.42 (2.82-4.16)</w:t>
            </w:r>
          </w:p>
        </w:tc>
      </w:tr>
      <w:tr w14:paraId="5B46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BDA4BA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1247" w:type="dxa"/>
            <w:vAlign w:val="center"/>
          </w:tcPr>
          <w:p w14:paraId="6D7B8A0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68739</w:t>
            </w:r>
          </w:p>
        </w:tc>
        <w:tc>
          <w:tcPr>
            <w:tcW w:w="1247" w:type="dxa"/>
            <w:vAlign w:val="center"/>
          </w:tcPr>
          <w:p w14:paraId="04672DC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6583</w:t>
            </w:r>
          </w:p>
        </w:tc>
        <w:tc>
          <w:tcPr>
            <w:tcW w:w="1701" w:type="dxa"/>
            <w:vAlign w:val="center"/>
          </w:tcPr>
          <w:p w14:paraId="18FE19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1.30 (1.17-1.44)</w:t>
            </w:r>
          </w:p>
        </w:tc>
        <w:tc>
          <w:tcPr>
            <w:tcW w:w="1701" w:type="dxa"/>
            <w:vAlign w:val="center"/>
          </w:tcPr>
          <w:p w14:paraId="3D2AEB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1.66 (1.43-1.94)</w:t>
            </w:r>
          </w:p>
        </w:tc>
        <w:tc>
          <w:tcPr>
            <w:tcW w:w="1701" w:type="dxa"/>
            <w:vAlign w:val="center"/>
          </w:tcPr>
          <w:p w14:paraId="18F204C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3.66 (2.97-4.50)</w:t>
            </w:r>
          </w:p>
        </w:tc>
      </w:tr>
      <w:tr w14:paraId="71D1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8673D3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1247" w:type="dxa"/>
            <w:vAlign w:val="center"/>
          </w:tcPr>
          <w:p w14:paraId="09A18B9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59426</w:t>
            </w:r>
          </w:p>
        </w:tc>
        <w:tc>
          <w:tcPr>
            <w:tcW w:w="1247" w:type="dxa"/>
            <w:vAlign w:val="center"/>
          </w:tcPr>
          <w:p w14:paraId="2544C1F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5898</w:t>
            </w:r>
          </w:p>
        </w:tc>
        <w:tc>
          <w:tcPr>
            <w:tcW w:w="1701" w:type="dxa"/>
            <w:vAlign w:val="center"/>
          </w:tcPr>
          <w:p w14:paraId="1E295B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1.20 (1.07-1.33)</w:t>
            </w:r>
          </w:p>
        </w:tc>
        <w:tc>
          <w:tcPr>
            <w:tcW w:w="1701" w:type="dxa"/>
            <w:vAlign w:val="center"/>
          </w:tcPr>
          <w:p w14:paraId="794779F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1.33 (1.17-1.52)</w:t>
            </w:r>
          </w:p>
        </w:tc>
        <w:tc>
          <w:tcPr>
            <w:tcW w:w="1701" w:type="dxa"/>
            <w:vAlign w:val="center"/>
          </w:tcPr>
          <w:p w14:paraId="5804C2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1.87 (1.60-2.17)</w:t>
            </w:r>
          </w:p>
        </w:tc>
      </w:tr>
      <w:tr w14:paraId="61A7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B2BC22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1247" w:type="dxa"/>
            <w:vAlign w:val="center"/>
          </w:tcPr>
          <w:p w14:paraId="5F34842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52423</w:t>
            </w:r>
          </w:p>
        </w:tc>
        <w:tc>
          <w:tcPr>
            <w:tcW w:w="1247" w:type="dxa"/>
            <w:vAlign w:val="center"/>
          </w:tcPr>
          <w:p w14:paraId="0A067DA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5297</w:t>
            </w:r>
          </w:p>
        </w:tc>
        <w:tc>
          <w:tcPr>
            <w:tcW w:w="1701" w:type="dxa"/>
            <w:vAlign w:val="center"/>
          </w:tcPr>
          <w:p w14:paraId="42222A3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1.14 (1.02-1.27)</w:t>
            </w:r>
          </w:p>
        </w:tc>
        <w:tc>
          <w:tcPr>
            <w:tcW w:w="1701" w:type="dxa"/>
            <w:vAlign w:val="center"/>
          </w:tcPr>
          <w:p w14:paraId="06E5F3E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1.22 (1.08-1.39)</w:t>
            </w:r>
          </w:p>
        </w:tc>
        <w:tc>
          <w:tcPr>
            <w:tcW w:w="1701" w:type="dxa"/>
            <w:vAlign w:val="center"/>
          </w:tcPr>
          <w:p w14:paraId="1847DE1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1.57 (1.35-1.82)</w:t>
            </w:r>
          </w:p>
        </w:tc>
      </w:tr>
    </w:tbl>
    <w:p w14:paraId="223A7B5E">
      <w:pPr>
        <w:rPr>
          <w:rFonts w:hint="eastAsia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eastAsia" w:eastAsia="宋体"/>
          <w:lang w:eastAsia="zh-CN"/>
        </w:rPr>
        <w:t>Events denote 28-day in-hospital deaths after the landmark; patients discharged alive before day 28 were treated as survivors. Complete-case counts indicate availability of all Model 3 covariates.</w:t>
      </w:r>
    </w:p>
    <w:p w14:paraId="1715EEBE">
      <w:pPr>
        <w:rPr>
          <w:rFonts w:hint="default" w:ascii="Times New Roman" w:hAnsi="Times New Roman" w:cs="Times New Roman"/>
          <w:sz w:val="22"/>
          <w:szCs w:val="22"/>
        </w:rPr>
      </w:pPr>
    </w:p>
    <w:p w14:paraId="52AB9E8D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Table S18. Hospital-standardized sensitivity analyses in eICU-CRD (Model 3).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28"/>
        <w:gridCol w:w="1703"/>
        <w:gridCol w:w="1678"/>
        <w:gridCol w:w="1693"/>
      </w:tblGrid>
      <w:tr w14:paraId="0C2A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679A3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Cohort / exposure</w:t>
            </w:r>
          </w:p>
        </w:tc>
        <w:tc>
          <w:tcPr>
            <w:tcW w:w="1728" w:type="dxa"/>
          </w:tcPr>
          <w:p w14:paraId="54836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Sensitivity approach</w:t>
            </w:r>
          </w:p>
        </w:tc>
        <w:tc>
          <w:tcPr>
            <w:tcW w:w="1728" w:type="dxa"/>
          </w:tcPr>
          <w:p w14:paraId="5F0F0D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OR (95% CI)</w:t>
            </w:r>
          </w:p>
        </w:tc>
        <w:tc>
          <w:tcPr>
            <w:tcW w:w="1728" w:type="dxa"/>
          </w:tcPr>
          <w:p w14:paraId="2461EC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728" w:type="dxa"/>
          </w:tcPr>
          <w:p w14:paraId="7851DC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Hospitals</w:t>
            </w:r>
          </w:p>
        </w:tc>
      </w:tr>
      <w:tr w14:paraId="71EC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B5606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 (AGmax_24h)</w:t>
            </w:r>
          </w:p>
        </w:tc>
        <w:tc>
          <w:tcPr>
            <w:tcW w:w="1728" w:type="dxa"/>
          </w:tcPr>
          <w:p w14:paraId="6CE556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Hospital-specific z-score (per 1 SD)</w:t>
            </w:r>
          </w:p>
        </w:tc>
        <w:tc>
          <w:tcPr>
            <w:tcW w:w="1728" w:type="dxa"/>
          </w:tcPr>
          <w:p w14:paraId="18BF2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1.28 (1.24–1.34)</w:t>
            </w:r>
          </w:p>
        </w:tc>
        <w:tc>
          <w:tcPr>
            <w:tcW w:w="1728" w:type="dxa"/>
          </w:tcPr>
          <w:p w14:paraId="7A5172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69269</w:t>
            </w:r>
          </w:p>
        </w:tc>
        <w:tc>
          <w:tcPr>
            <w:tcW w:w="1728" w:type="dxa"/>
          </w:tcPr>
          <w:p w14:paraId="76AEE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152</w:t>
            </w:r>
          </w:p>
        </w:tc>
      </w:tr>
      <w:tr w14:paraId="025D5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DAEE6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LM24h (AGmax_24h)</w:t>
            </w:r>
          </w:p>
        </w:tc>
        <w:tc>
          <w:tcPr>
            <w:tcW w:w="1728" w:type="dxa"/>
          </w:tcPr>
          <w:p w14:paraId="03311C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Hospital-specific quartiles (Q4 vs Q1)</w:t>
            </w:r>
          </w:p>
        </w:tc>
        <w:tc>
          <w:tcPr>
            <w:tcW w:w="1728" w:type="dxa"/>
          </w:tcPr>
          <w:p w14:paraId="01CE89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1.85 (1.66–2.07)</w:t>
            </w:r>
          </w:p>
        </w:tc>
        <w:tc>
          <w:tcPr>
            <w:tcW w:w="1728" w:type="dxa"/>
          </w:tcPr>
          <w:p w14:paraId="7D8775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68992</w:t>
            </w:r>
          </w:p>
        </w:tc>
        <w:tc>
          <w:tcPr>
            <w:tcW w:w="1728" w:type="dxa"/>
          </w:tcPr>
          <w:p w14:paraId="265EE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14:paraId="6C84C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3DAF8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 (AG_first_12h)</w:t>
            </w:r>
          </w:p>
        </w:tc>
        <w:tc>
          <w:tcPr>
            <w:tcW w:w="1728" w:type="dxa"/>
          </w:tcPr>
          <w:p w14:paraId="44CB6B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Hospital-specific z-score (per 1 SD)</w:t>
            </w:r>
          </w:p>
        </w:tc>
        <w:tc>
          <w:tcPr>
            <w:tcW w:w="1728" w:type="dxa"/>
          </w:tcPr>
          <w:p w14:paraId="26D1A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1.22 (1.18–1.27)</w:t>
            </w:r>
          </w:p>
        </w:tc>
        <w:tc>
          <w:tcPr>
            <w:tcW w:w="1728" w:type="dxa"/>
          </w:tcPr>
          <w:p w14:paraId="20975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52423</w:t>
            </w:r>
          </w:p>
        </w:tc>
        <w:tc>
          <w:tcPr>
            <w:tcW w:w="1728" w:type="dxa"/>
          </w:tcPr>
          <w:p w14:paraId="1D6BCD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152</w:t>
            </w:r>
          </w:p>
        </w:tc>
      </w:tr>
      <w:tr w14:paraId="763F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FE4EB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LM12h (AG_first_12h)</w:t>
            </w:r>
          </w:p>
        </w:tc>
        <w:tc>
          <w:tcPr>
            <w:tcW w:w="1728" w:type="dxa"/>
          </w:tcPr>
          <w:p w14:paraId="628DFC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Hospital-specific quartiles (Q4 vs Q1)</w:t>
            </w:r>
          </w:p>
        </w:tc>
        <w:tc>
          <w:tcPr>
            <w:tcW w:w="1728" w:type="dxa"/>
          </w:tcPr>
          <w:p w14:paraId="105438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1.81 (1.62–2.02)</w:t>
            </w:r>
          </w:p>
        </w:tc>
        <w:tc>
          <w:tcPr>
            <w:tcW w:w="1728" w:type="dxa"/>
          </w:tcPr>
          <w:p w14:paraId="51AF23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51932</w:t>
            </w:r>
          </w:p>
        </w:tc>
        <w:tc>
          <w:tcPr>
            <w:tcW w:w="1728" w:type="dxa"/>
          </w:tcPr>
          <w:p w14:paraId="5DC0C7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128</w:t>
            </w:r>
          </w:p>
        </w:tc>
      </w:tr>
    </w:tbl>
    <w:p w14:paraId="52718C54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Model 3 adjusted for age, sex, APACHE total score, and first-day physiologic/laboratory covariates, with hospital-level cluster-robust standard errors. Hospital-specific z scores were computed using winsorized AG values (1st/99th percentiles) within each hospital. Hospital-specific quartiles were defined within hospitals with ≥50 eligible patients (Q1 reference).</w:t>
      </w:r>
    </w:p>
    <w:p w14:paraId="7586DD3E">
      <w:pPr>
        <w:rPr>
          <w:rFonts w:hint="default" w:ascii="Times New Roman" w:hAnsi="Times New Roman" w:cs="Times New Roman"/>
          <w:sz w:val="22"/>
          <w:szCs w:val="22"/>
        </w:rPr>
      </w:pPr>
    </w:p>
    <w:p w14:paraId="561D0CD3">
      <w:pPr>
        <w:spacing w:after="160"/>
        <w:ind w:left="283" w:right="283"/>
        <w:rPr>
          <w:rFonts w:hint="default" w:ascii="Times New Roman" w:hAnsi="Times New Roman" w:cs="Times New Roman"/>
          <w:sz w:val="22"/>
          <w:szCs w:val="22"/>
        </w:rPr>
      </w:pPr>
    </w:p>
    <w:p w14:paraId="5D6B2163">
      <w:pPr>
        <w:spacing w:after="160"/>
        <w:ind w:left="283" w:right="283"/>
        <w:rPr>
          <w:rFonts w:hint="default" w:ascii="Times New Roman" w:hAnsi="Times New Roman" w:cs="Times New Roman"/>
          <w:sz w:val="22"/>
          <w:szCs w:val="22"/>
        </w:rPr>
      </w:pPr>
    </w:p>
    <w:p w14:paraId="7E8DCB0F">
      <w:pPr>
        <w:spacing w:after="160"/>
        <w:ind w:left="283" w:right="283"/>
        <w:rPr>
          <w:rFonts w:hint="default" w:ascii="Times New Roman" w:hAnsi="Times New Roman" w:cs="Times New Roman"/>
          <w:sz w:val="22"/>
          <w:szCs w:val="22"/>
        </w:rPr>
      </w:pPr>
    </w:p>
    <w:p w14:paraId="448EA60F">
      <w:pPr>
        <w:rPr>
          <w:rFonts w:hint="default" w:ascii="Times New Roman" w:hAnsi="Times New Roman" w:cs="Times New Roman"/>
          <w:sz w:val="22"/>
          <w:szCs w:val="22"/>
        </w:rPr>
      </w:pPr>
    </w:p>
    <w:p w14:paraId="022478D5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9309E"/>
    <w:rsid w:val="06E041D9"/>
    <w:rsid w:val="07343194"/>
    <w:rsid w:val="1C29309E"/>
    <w:rsid w:val="5BC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1301</Words>
  <Characters>7294</Characters>
  <Lines>0</Lines>
  <Paragraphs>0</Paragraphs>
  <TotalTime>0</TotalTime>
  <ScaleCrop>false</ScaleCrop>
  <LinksUpToDate>false</LinksUpToDate>
  <CharactersWithSpaces>8137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2026-01-27T10:47:00Z</dcterms:created>
  <dc:creator>AI-Charlie</dc:creator>
  <cp:lastModifiedBy>杨硕</cp:lastModifiedBy>
  <dcterms:modified xsi:type="dcterms:W3CDTF">2026-06-05T03:16:29Z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6C869686B07F46A69ACF839A8C307047_11</vt:lpwstr>
  </property>
  <property fmtid="{D5CDD505-2E9C-101B-9397-08002B2CF9AE}" pid="4" name="KSOTemplateDocerSaveRecord">
    <vt:lpwstr>eyJoZGlkIjoiNjFhMGJhMGI3ZDMwMjUzZmYxYzM1ODhkZGMwZDZiNzIiLCJ1c2VySWQiOiIzMDkyOTMyMDMifQ==</vt:lpwstr>
  </property>
</Properties>
</file>