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F73D" w14:textId="7145D37B" w:rsidR="0052517A" w:rsidRPr="0052517A" w:rsidRDefault="0052517A" w:rsidP="0052517A">
      <w:pPr>
        <w:pStyle w:val="berschrift1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52517A">
        <w:rPr>
          <w:rFonts w:ascii="Arial" w:hAnsi="Arial" w:cs="Arial"/>
          <w:color w:val="000000" w:themeColor="text1"/>
          <w:sz w:val="32"/>
          <w:szCs w:val="32"/>
        </w:rPr>
        <w:t>Supplementary material</w:t>
      </w:r>
    </w:p>
    <w:p w14:paraId="4D0D4591" w14:textId="77777777" w:rsidR="00A21AE1" w:rsidRDefault="00A21AE1">
      <w:pPr>
        <w:pStyle w:val="berschrift1"/>
        <w:rPr>
          <w:rFonts w:ascii="Arial" w:hAnsi="Arial" w:cs="Arial"/>
          <w:color w:val="000000" w:themeColor="text1"/>
        </w:rPr>
      </w:pPr>
    </w:p>
    <w:p w14:paraId="0CBDDAA1" w14:textId="191EC8E2" w:rsidR="009534FB" w:rsidRPr="00A21AE1" w:rsidRDefault="006F020F">
      <w:pPr>
        <w:pStyle w:val="berschrift1"/>
        <w:rPr>
          <w:rFonts w:ascii="Arial" w:hAnsi="Arial" w:cs="Arial"/>
          <w:color w:val="000000" w:themeColor="text1"/>
        </w:rPr>
      </w:pPr>
      <w:r w:rsidRPr="00A21AE1">
        <w:rPr>
          <w:rFonts w:ascii="Arial" w:hAnsi="Arial" w:cs="Arial"/>
          <w:color w:val="000000" w:themeColor="text1"/>
        </w:rPr>
        <w:t>Exploratory analysis in non-stroke patients</w:t>
      </w:r>
    </w:p>
    <w:p w14:paraId="6A7907FC" w14:textId="3924D21F" w:rsidR="009534FB" w:rsidRPr="00A21AE1" w:rsidRDefault="00000000" w:rsidP="006F020F">
      <w:pPr>
        <w:pStyle w:val="p1"/>
        <w:spacing w:line="360" w:lineRule="auto"/>
        <w:ind w:firstLine="7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21AE1">
        <w:rPr>
          <w:rFonts w:ascii="Arial" w:hAnsi="Arial" w:cs="Arial"/>
          <w:color w:val="000000" w:themeColor="text1"/>
          <w:sz w:val="22"/>
          <w:szCs w:val="22"/>
        </w:rPr>
        <w:t xml:space="preserve">A total of 11 non-stroke patients who underwent mechanical ventilation and subsequent extubation were assessed using the Oral Motor Function (OMF) subscore. </w:t>
      </w:r>
      <w:r w:rsidR="006F020F" w:rsidRPr="00A21AE1">
        <w:rPr>
          <w:rFonts w:ascii="Arial" w:hAnsi="Arial" w:cs="Arial"/>
          <w:sz w:val="22"/>
          <w:szCs w:val="22"/>
        </w:rPr>
        <w:t xml:space="preserve">As a </w:t>
      </w:r>
      <w:proofErr w:type="spellStart"/>
      <w:r w:rsidR="006F020F" w:rsidRPr="00A21AE1">
        <w:rPr>
          <w:rFonts w:ascii="Arial" w:hAnsi="Arial" w:cs="Arial"/>
          <w:sz w:val="22"/>
          <w:szCs w:val="22"/>
        </w:rPr>
        <w:t>secondary</w:t>
      </w:r>
      <w:proofErr w:type="spellEnd"/>
      <w:r w:rsidR="006F020F" w:rsidRPr="00A21AE1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F020F" w:rsidRPr="00A21AE1">
        <w:rPr>
          <w:rFonts w:ascii="Arial" w:hAnsi="Arial" w:cs="Arial"/>
          <w:sz w:val="22"/>
          <w:szCs w:val="22"/>
        </w:rPr>
        <w:t>exploratory</w:t>
      </w:r>
      <w:proofErr w:type="spellEnd"/>
      <w:r w:rsidR="006F020F" w:rsidRPr="00A21AE1">
        <w:rPr>
          <w:rFonts w:ascii="Arial" w:hAnsi="Arial" w:cs="Arial"/>
          <w:sz w:val="22"/>
          <w:szCs w:val="22"/>
        </w:rPr>
        <w:t xml:space="preserve"> analysis, </w:t>
      </w:r>
      <w:proofErr w:type="spellStart"/>
      <w:r w:rsidR="006F020F" w:rsidRPr="00A21AE1">
        <w:rPr>
          <w:rFonts w:ascii="Arial" w:hAnsi="Arial" w:cs="Arial"/>
          <w:sz w:val="22"/>
          <w:szCs w:val="22"/>
        </w:rPr>
        <w:t>we</w:t>
      </w:r>
      <w:proofErr w:type="spellEnd"/>
      <w:r w:rsidR="006F020F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F020F" w:rsidRPr="00A21AE1">
        <w:rPr>
          <w:rFonts w:ascii="Arial" w:hAnsi="Arial" w:cs="Arial"/>
          <w:sz w:val="22"/>
          <w:szCs w:val="22"/>
        </w:rPr>
        <w:t>included</w:t>
      </w:r>
      <w:proofErr w:type="spellEnd"/>
      <w:r w:rsidR="006F020F" w:rsidRPr="00A21AE1">
        <w:rPr>
          <w:rFonts w:ascii="Arial" w:hAnsi="Arial" w:cs="Arial"/>
          <w:sz w:val="22"/>
          <w:szCs w:val="22"/>
        </w:rPr>
        <w:t xml:space="preserve"> non-stroke patients to test the </w:t>
      </w:r>
      <w:proofErr w:type="spellStart"/>
      <w:r w:rsidR="006F020F" w:rsidRPr="00A21AE1">
        <w:rPr>
          <w:rFonts w:ascii="Arial" w:hAnsi="Arial" w:cs="Arial"/>
          <w:sz w:val="22"/>
          <w:szCs w:val="22"/>
        </w:rPr>
        <w:t>applicability</w:t>
      </w:r>
      <w:proofErr w:type="spellEnd"/>
      <w:r w:rsidR="006F020F" w:rsidRPr="00A21AE1">
        <w:rPr>
          <w:rFonts w:ascii="Arial" w:hAnsi="Arial" w:cs="Arial"/>
          <w:sz w:val="22"/>
          <w:szCs w:val="22"/>
        </w:rPr>
        <w:t xml:space="preserve"> of the OMF </w:t>
      </w:r>
      <w:proofErr w:type="spellStart"/>
      <w:r w:rsidR="006F020F" w:rsidRPr="00A21AE1">
        <w:rPr>
          <w:rFonts w:ascii="Arial" w:hAnsi="Arial" w:cs="Arial"/>
          <w:sz w:val="22"/>
          <w:szCs w:val="22"/>
        </w:rPr>
        <w:t>subscore</w:t>
      </w:r>
      <w:proofErr w:type="spellEnd"/>
      <w:r w:rsidR="006F020F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F020F" w:rsidRPr="00A21AE1">
        <w:rPr>
          <w:rFonts w:ascii="Arial" w:hAnsi="Arial" w:cs="Arial"/>
          <w:sz w:val="22"/>
          <w:szCs w:val="22"/>
        </w:rPr>
        <w:t>beyond</w:t>
      </w:r>
      <w:proofErr w:type="spellEnd"/>
      <w:r w:rsidR="006F020F" w:rsidRPr="00A21AE1">
        <w:rPr>
          <w:rFonts w:ascii="Arial" w:hAnsi="Arial" w:cs="Arial"/>
          <w:sz w:val="22"/>
          <w:szCs w:val="22"/>
        </w:rPr>
        <w:t xml:space="preserve"> the stroke population. </w:t>
      </w:r>
      <w:r w:rsidRPr="00A21AE1">
        <w:rPr>
          <w:rFonts w:ascii="Arial" w:hAnsi="Arial" w:cs="Arial"/>
          <w:color w:val="000000" w:themeColor="text1"/>
          <w:sz w:val="22"/>
          <w:szCs w:val="22"/>
        </w:rPr>
        <w:t xml:space="preserve">As the DEFISS </w:t>
      </w:r>
      <w:proofErr w:type="spellStart"/>
      <w:r w:rsidRPr="00A21AE1">
        <w:rPr>
          <w:rFonts w:ascii="Arial" w:hAnsi="Arial" w:cs="Arial"/>
          <w:color w:val="000000" w:themeColor="text1"/>
          <w:sz w:val="22"/>
          <w:szCs w:val="22"/>
        </w:rPr>
        <w:t>is</w:t>
      </w:r>
      <w:proofErr w:type="spellEnd"/>
      <w:r w:rsidRPr="00A21AE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Pr="00A21AE1">
        <w:rPr>
          <w:rFonts w:ascii="Arial" w:hAnsi="Arial" w:cs="Arial"/>
          <w:color w:val="000000" w:themeColor="text1"/>
          <w:sz w:val="22"/>
          <w:szCs w:val="22"/>
        </w:rPr>
        <w:t>specific</w:t>
      </w:r>
      <w:proofErr w:type="spellEnd"/>
      <w:r w:rsidRPr="00A21AE1">
        <w:rPr>
          <w:rFonts w:ascii="Arial" w:hAnsi="Arial" w:cs="Arial"/>
          <w:color w:val="000000" w:themeColor="text1"/>
          <w:sz w:val="22"/>
          <w:szCs w:val="22"/>
        </w:rPr>
        <w:t xml:space="preserve"> to stroke-</w:t>
      </w:r>
      <w:proofErr w:type="spellStart"/>
      <w:r w:rsidRPr="00A21AE1">
        <w:rPr>
          <w:rFonts w:ascii="Arial" w:hAnsi="Arial" w:cs="Arial"/>
          <w:color w:val="000000" w:themeColor="text1"/>
          <w:sz w:val="22"/>
          <w:szCs w:val="22"/>
        </w:rPr>
        <w:t>related</w:t>
      </w:r>
      <w:proofErr w:type="spellEnd"/>
      <w:r w:rsidRPr="00A21AE1">
        <w:rPr>
          <w:rFonts w:ascii="Arial" w:hAnsi="Arial" w:cs="Arial"/>
          <w:color w:val="000000" w:themeColor="text1"/>
          <w:sz w:val="22"/>
          <w:szCs w:val="22"/>
        </w:rPr>
        <w:t xml:space="preserve"> risk factors, it was not applied in this group. The following analyses are therefore exploratory and limited to OMF reliability, correlation with FEES-</w:t>
      </w:r>
      <w:proofErr w:type="spellStart"/>
      <w:r w:rsidRPr="00A21AE1">
        <w:rPr>
          <w:rFonts w:ascii="Arial" w:hAnsi="Arial" w:cs="Arial"/>
          <w:color w:val="000000" w:themeColor="text1"/>
          <w:sz w:val="22"/>
          <w:szCs w:val="22"/>
        </w:rPr>
        <w:t>based</w:t>
      </w:r>
      <w:proofErr w:type="spellEnd"/>
      <w:r w:rsidRPr="00A21AE1">
        <w:rPr>
          <w:rFonts w:ascii="Arial" w:hAnsi="Arial" w:cs="Arial"/>
          <w:color w:val="000000" w:themeColor="text1"/>
          <w:sz w:val="22"/>
          <w:szCs w:val="22"/>
        </w:rPr>
        <w:t xml:space="preserve"> FEDSS, and </w:t>
      </w:r>
      <w:proofErr w:type="spellStart"/>
      <w:r w:rsidRPr="00A21AE1">
        <w:rPr>
          <w:rFonts w:ascii="Arial" w:hAnsi="Arial" w:cs="Arial"/>
          <w:color w:val="000000" w:themeColor="text1"/>
          <w:sz w:val="22"/>
          <w:szCs w:val="22"/>
        </w:rPr>
        <w:t>association</w:t>
      </w:r>
      <w:proofErr w:type="spellEnd"/>
      <w:r w:rsidRPr="00A21AE1">
        <w:rPr>
          <w:rFonts w:ascii="Arial" w:hAnsi="Arial" w:cs="Arial"/>
          <w:color w:val="000000" w:themeColor="text1"/>
          <w:sz w:val="22"/>
          <w:szCs w:val="22"/>
        </w:rPr>
        <w:t xml:space="preserve"> with extubation </w:t>
      </w:r>
      <w:proofErr w:type="spellStart"/>
      <w:r w:rsidRPr="00A21AE1">
        <w:rPr>
          <w:rFonts w:ascii="Arial" w:hAnsi="Arial" w:cs="Arial"/>
          <w:color w:val="000000" w:themeColor="text1"/>
          <w:sz w:val="22"/>
          <w:szCs w:val="22"/>
        </w:rPr>
        <w:t>outcomes</w:t>
      </w:r>
      <w:proofErr w:type="spellEnd"/>
      <w:r w:rsidRPr="00A21AE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F32F05D" w14:textId="77777777" w:rsidR="007D2476" w:rsidRPr="00A21AE1" w:rsidRDefault="007D2476" w:rsidP="006F020F">
      <w:pPr>
        <w:pStyle w:val="p1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</w:p>
    <w:p w14:paraId="403442E9" w14:textId="77777777" w:rsidR="009534FB" w:rsidRPr="00A21AE1" w:rsidRDefault="00000000" w:rsidP="006F020F">
      <w:pPr>
        <w:pStyle w:val="berschrift2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21AE1">
        <w:rPr>
          <w:rFonts w:ascii="Arial" w:hAnsi="Arial" w:cs="Arial"/>
          <w:color w:val="000000" w:themeColor="text1"/>
          <w:sz w:val="24"/>
          <w:szCs w:val="24"/>
        </w:rPr>
        <w:t>Methods (exploratory analysis)</w:t>
      </w:r>
    </w:p>
    <w:p w14:paraId="2FF7C1DB" w14:textId="77777777" w:rsidR="009534FB" w:rsidRPr="00A21AE1" w:rsidRDefault="00000000" w:rsidP="006F020F">
      <w:pPr>
        <w:spacing w:line="360" w:lineRule="auto"/>
        <w:ind w:firstLine="720"/>
        <w:jc w:val="both"/>
        <w:rPr>
          <w:rFonts w:cs="Arial"/>
          <w:color w:val="000000" w:themeColor="text1"/>
        </w:rPr>
      </w:pPr>
      <w:r w:rsidRPr="00A21AE1">
        <w:rPr>
          <w:rFonts w:cs="Arial"/>
          <w:color w:val="000000" w:themeColor="text1"/>
        </w:rPr>
        <w:t>OMF ratings were obtained by three independent raters (novice, intermediate, expert). Interrater reliability was assessed using intraclass correlation coefficient (ICC, two-way mixed-effects, absolute agreement). Construct validity was explored by Spearman correlation between OMF and FEDSS after extubation. An exploratory dichotomization of OMF scores (≥4 vs. &lt;4) was tested against extubation failure using Fisher’s exact test.</w:t>
      </w:r>
    </w:p>
    <w:p w14:paraId="56938192" w14:textId="77777777" w:rsidR="007D2476" w:rsidRPr="00A21AE1" w:rsidRDefault="007D2476" w:rsidP="006F020F">
      <w:pPr>
        <w:spacing w:line="360" w:lineRule="auto"/>
        <w:ind w:firstLine="720"/>
        <w:jc w:val="both"/>
        <w:rPr>
          <w:rFonts w:cs="Arial"/>
          <w:color w:val="000000" w:themeColor="text1"/>
        </w:rPr>
      </w:pPr>
    </w:p>
    <w:p w14:paraId="4ED4C6E6" w14:textId="77777777" w:rsidR="009534FB" w:rsidRPr="00A21AE1" w:rsidRDefault="00000000" w:rsidP="006F020F">
      <w:pPr>
        <w:pStyle w:val="berschrift2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21AE1">
        <w:rPr>
          <w:rFonts w:ascii="Arial" w:hAnsi="Arial" w:cs="Arial"/>
          <w:color w:val="000000" w:themeColor="text1"/>
          <w:sz w:val="24"/>
          <w:szCs w:val="24"/>
        </w:rPr>
        <w:t>Results</w:t>
      </w:r>
    </w:p>
    <w:p w14:paraId="7E9D805C" w14:textId="44B07FB3" w:rsidR="006F020F" w:rsidRPr="00A21AE1" w:rsidRDefault="00000000" w:rsidP="00A21AE1">
      <w:pPr>
        <w:pStyle w:val="p1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A21AE1">
        <w:rPr>
          <w:rFonts w:ascii="Arial" w:hAnsi="Arial" w:cs="Arial"/>
          <w:color w:val="000000" w:themeColor="text1"/>
          <w:sz w:val="22"/>
          <w:szCs w:val="22"/>
        </w:rPr>
        <w:t xml:space="preserve">Patient characteristics are summarized in Table S1. Interrater reliability of OMF was excellent (ICC = 0.921, 95% CI 0.782–0.977). </w:t>
      </w:r>
      <w:r w:rsidR="007D2476" w:rsidRPr="00A21AE1">
        <w:rPr>
          <w:rFonts w:ascii="Arial" w:hAnsi="Arial" w:cs="Arial"/>
          <w:sz w:val="22"/>
          <w:szCs w:val="22"/>
        </w:rPr>
        <w:t xml:space="preserve">OMF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correlated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positively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though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not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significantly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>, with FEDSS (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Spearman’s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ρ = 0.38, p = 0.26, n = 11). </w:t>
      </w:r>
      <w:proofErr w:type="spellStart"/>
      <w:r w:rsidR="00905255" w:rsidRPr="00A21AE1">
        <w:rPr>
          <w:rFonts w:ascii="Arial" w:hAnsi="Arial" w:cs="Arial"/>
          <w:sz w:val="22"/>
          <w:szCs w:val="22"/>
        </w:rPr>
        <w:t>Sensitivity</w:t>
      </w:r>
      <w:proofErr w:type="spellEnd"/>
      <w:r w:rsidR="00905255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5255" w:rsidRPr="00A21AE1">
        <w:rPr>
          <w:rFonts w:ascii="Arial" w:hAnsi="Arial" w:cs="Arial"/>
          <w:sz w:val="22"/>
          <w:szCs w:val="22"/>
        </w:rPr>
        <w:t>analyses</w:t>
      </w:r>
      <w:proofErr w:type="spellEnd"/>
      <w:r w:rsidR="00905255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905255" w:rsidRPr="00A21AE1">
        <w:rPr>
          <w:rFonts w:ascii="Arial" w:hAnsi="Arial" w:cs="Arial"/>
          <w:sz w:val="22"/>
          <w:szCs w:val="22"/>
        </w:rPr>
        <w:t>included</w:t>
      </w:r>
      <w:proofErr w:type="spellEnd"/>
      <w:r w:rsidR="00905255" w:rsidRPr="00A21AE1">
        <w:rPr>
          <w:rFonts w:ascii="Arial" w:hAnsi="Arial" w:cs="Arial"/>
          <w:sz w:val="22"/>
          <w:szCs w:val="22"/>
        </w:rPr>
        <w:t xml:space="preserve"> (A) </w:t>
      </w:r>
      <w:proofErr w:type="spellStart"/>
      <w:r w:rsidR="00905255" w:rsidRPr="00A21AE1">
        <w:rPr>
          <w:rFonts w:ascii="Arial" w:hAnsi="Arial" w:cs="Arial"/>
          <w:sz w:val="22"/>
          <w:szCs w:val="22"/>
        </w:rPr>
        <w:t>novice-only</w:t>
      </w:r>
      <w:proofErr w:type="spellEnd"/>
      <w:r w:rsidR="00905255" w:rsidRPr="00A21AE1">
        <w:rPr>
          <w:rFonts w:ascii="Arial" w:hAnsi="Arial" w:cs="Arial"/>
          <w:sz w:val="22"/>
          <w:szCs w:val="22"/>
        </w:rPr>
        <w:t xml:space="preserve"> and (B) </w:t>
      </w:r>
      <w:proofErr w:type="spellStart"/>
      <w:r w:rsidR="00905255" w:rsidRPr="00A21AE1">
        <w:rPr>
          <w:rFonts w:ascii="Arial" w:hAnsi="Arial" w:cs="Arial"/>
          <w:sz w:val="22"/>
          <w:szCs w:val="22"/>
        </w:rPr>
        <w:t>averaged</w:t>
      </w:r>
      <w:proofErr w:type="spellEnd"/>
      <w:r w:rsidR="00905255" w:rsidRPr="00A21AE1">
        <w:rPr>
          <w:rFonts w:ascii="Arial" w:hAnsi="Arial" w:cs="Arial"/>
          <w:sz w:val="22"/>
          <w:szCs w:val="22"/>
        </w:rPr>
        <w:t xml:space="preserve">-rater thresholds (Table S2).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Exploratively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, patients with OMF &lt;4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experienced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higher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rates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of extubation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failure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(Table S4)</w:t>
      </w:r>
      <w:r w:rsidRPr="00A21AE1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7D2476" w:rsidRPr="00A21AE1">
        <w:rPr>
          <w:rFonts w:ascii="Arial" w:hAnsi="Arial" w:cs="Arial"/>
          <w:sz w:val="22"/>
          <w:szCs w:val="22"/>
        </w:rPr>
        <w:t xml:space="preserve">Given the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small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sample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size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these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findings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should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be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2476" w:rsidRPr="00A21AE1">
        <w:rPr>
          <w:rFonts w:ascii="Arial" w:hAnsi="Arial" w:cs="Arial"/>
          <w:sz w:val="22"/>
          <w:szCs w:val="22"/>
        </w:rPr>
        <w:t>considered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D2476" w:rsidRPr="00A21AE1">
        <w:rPr>
          <w:rStyle w:val="s1"/>
          <w:rFonts w:ascii="Arial" w:hAnsi="Arial" w:cs="Arial"/>
          <w:sz w:val="22"/>
          <w:szCs w:val="22"/>
        </w:rPr>
        <w:t>hypothesis-generating</w:t>
      </w:r>
      <w:proofErr w:type="spellEnd"/>
      <w:r w:rsidR="007D2476" w:rsidRPr="00A21AE1">
        <w:rPr>
          <w:rStyle w:val="s1"/>
          <w:rFonts w:ascii="Arial" w:hAnsi="Arial" w:cs="Arial"/>
          <w:sz w:val="22"/>
          <w:szCs w:val="22"/>
        </w:rPr>
        <w:t xml:space="preserve"> </w:t>
      </w:r>
      <w:proofErr w:type="spellStart"/>
      <w:r w:rsidR="007D2476" w:rsidRPr="00A21AE1">
        <w:rPr>
          <w:rStyle w:val="s1"/>
          <w:rFonts w:ascii="Arial" w:hAnsi="Arial" w:cs="Arial"/>
          <w:sz w:val="22"/>
          <w:szCs w:val="22"/>
        </w:rPr>
        <w:t>only</w:t>
      </w:r>
      <w:proofErr w:type="spellEnd"/>
      <w:r w:rsidR="007D2476" w:rsidRPr="00A21AE1">
        <w:rPr>
          <w:rFonts w:ascii="Arial" w:hAnsi="Arial" w:cs="Arial"/>
          <w:sz w:val="22"/>
          <w:szCs w:val="22"/>
        </w:rPr>
        <w:t>.</w:t>
      </w:r>
    </w:p>
    <w:p w14:paraId="3772ED26" w14:textId="77777777" w:rsidR="009534FB" w:rsidRPr="00A21AE1" w:rsidRDefault="00000000">
      <w:pPr>
        <w:rPr>
          <w:rFonts w:cs="Arial"/>
          <w:color w:val="000000" w:themeColor="text1"/>
        </w:rPr>
      </w:pPr>
      <w:r w:rsidRPr="00A21AE1">
        <w:rPr>
          <w:rFonts w:cs="Arial"/>
          <w:b/>
          <w:color w:val="000000" w:themeColor="text1"/>
        </w:rPr>
        <w:lastRenderedPageBreak/>
        <w:t>Table S1. Baseline characteristics of non-stroke patients (n = 11).</w:t>
      </w:r>
    </w:p>
    <w:tbl>
      <w:tblPr>
        <w:tblStyle w:val="Gitternetztabelle4"/>
        <w:tblW w:w="0" w:type="auto"/>
        <w:tblLook w:val="04A0" w:firstRow="1" w:lastRow="0" w:firstColumn="1" w:lastColumn="0" w:noHBand="0" w:noVBand="1"/>
      </w:tblPr>
      <w:tblGrid>
        <w:gridCol w:w="4317"/>
        <w:gridCol w:w="4313"/>
      </w:tblGrid>
      <w:tr w:rsidR="0052517A" w:rsidRPr="00A21AE1" w14:paraId="0EDB294F" w14:textId="77777777" w:rsidTr="00D43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F009189" w14:textId="77777777" w:rsidR="009534FB" w:rsidRPr="00D43E4A" w:rsidRDefault="00000000" w:rsidP="0052517A">
            <w:pPr>
              <w:jc w:val="center"/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Characteristic</w:t>
            </w:r>
          </w:p>
        </w:tc>
        <w:tc>
          <w:tcPr>
            <w:tcW w:w="4320" w:type="dxa"/>
          </w:tcPr>
          <w:p w14:paraId="63DC2097" w14:textId="77777777" w:rsidR="009534FB" w:rsidRPr="00D43E4A" w:rsidRDefault="00000000" w:rsidP="005251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Value</w:t>
            </w:r>
          </w:p>
        </w:tc>
      </w:tr>
      <w:tr w:rsidR="0052517A" w:rsidRPr="00A21AE1" w14:paraId="2926E89E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08CC771F" w14:textId="77777777" w:rsidR="009534FB" w:rsidRPr="00A21AE1" w:rsidRDefault="00000000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Age, mean ± SD (years)</w:t>
            </w:r>
          </w:p>
        </w:tc>
        <w:tc>
          <w:tcPr>
            <w:tcW w:w="4320" w:type="dxa"/>
          </w:tcPr>
          <w:p w14:paraId="27029550" w14:textId="77777777" w:rsidR="009534FB" w:rsidRPr="00A21AE1" w:rsidRDefault="00000000" w:rsidP="005251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70.45 ± 9.15</w:t>
            </w:r>
          </w:p>
        </w:tc>
      </w:tr>
      <w:tr w:rsidR="0052517A" w:rsidRPr="00A21AE1" w14:paraId="1C31A1C0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4B6C4F9" w14:textId="77777777" w:rsidR="009534FB" w:rsidRPr="00A21AE1" w:rsidRDefault="00000000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Female sex, n (%)</w:t>
            </w:r>
          </w:p>
        </w:tc>
        <w:tc>
          <w:tcPr>
            <w:tcW w:w="4320" w:type="dxa"/>
          </w:tcPr>
          <w:p w14:paraId="02AF5A8E" w14:textId="77777777" w:rsidR="009534FB" w:rsidRPr="00A21AE1" w:rsidRDefault="00000000" w:rsidP="0052517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5 (45.5%)</w:t>
            </w:r>
          </w:p>
        </w:tc>
      </w:tr>
      <w:tr w:rsidR="0052517A" w:rsidRPr="00A21AE1" w14:paraId="27F94698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7170404" w14:textId="6A0ED424" w:rsidR="009534FB" w:rsidRPr="00A21AE1" w:rsidRDefault="00000000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Primary diagnosis</w:t>
            </w:r>
            <w:r w:rsidR="0052517A" w:rsidRPr="00A21AE1">
              <w:rPr>
                <w:rFonts w:cs="Arial"/>
                <w:color w:val="000000" w:themeColor="text1"/>
              </w:rPr>
              <w:t>, n (%)</w:t>
            </w:r>
          </w:p>
        </w:tc>
        <w:tc>
          <w:tcPr>
            <w:tcW w:w="4320" w:type="dxa"/>
          </w:tcPr>
          <w:p w14:paraId="0901DFF4" w14:textId="0324F173" w:rsidR="009534FB" w:rsidRPr="00A21AE1" w:rsidRDefault="009534FB" w:rsidP="005251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</w:p>
        </w:tc>
      </w:tr>
      <w:tr w:rsidR="0052517A" w:rsidRPr="00A21AE1" w14:paraId="2A8ECC3A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D3E3D00" w14:textId="0B68ED17" w:rsidR="0052517A" w:rsidRPr="00A21AE1" w:rsidRDefault="0052517A" w:rsidP="0052517A">
            <w:pPr>
              <w:jc w:val="right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Seizure/Status epilepticus</w:t>
            </w:r>
          </w:p>
        </w:tc>
        <w:tc>
          <w:tcPr>
            <w:tcW w:w="4320" w:type="dxa"/>
          </w:tcPr>
          <w:p w14:paraId="57B73590" w14:textId="6565A785" w:rsidR="0052517A" w:rsidRPr="00A21AE1" w:rsidRDefault="0052517A" w:rsidP="0052517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5 (45.5%)</w:t>
            </w:r>
          </w:p>
        </w:tc>
      </w:tr>
      <w:tr w:rsidR="0052517A" w:rsidRPr="00A21AE1" w14:paraId="33A4B7EF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37237A1" w14:textId="6F000411" w:rsidR="0052517A" w:rsidRPr="00A21AE1" w:rsidRDefault="0052517A" w:rsidP="0052517A">
            <w:pPr>
              <w:jc w:val="right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Meningitis/Encephalitis</w:t>
            </w:r>
          </w:p>
        </w:tc>
        <w:tc>
          <w:tcPr>
            <w:tcW w:w="4320" w:type="dxa"/>
          </w:tcPr>
          <w:p w14:paraId="3FCCECC9" w14:textId="6434888C" w:rsidR="0052517A" w:rsidRPr="00A21AE1" w:rsidRDefault="0052517A" w:rsidP="005251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4 (36.4%)</w:t>
            </w:r>
          </w:p>
        </w:tc>
      </w:tr>
      <w:tr w:rsidR="0052517A" w:rsidRPr="00A21AE1" w14:paraId="2A11AF42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15245C0" w14:textId="4109B281" w:rsidR="0052517A" w:rsidRPr="00A21AE1" w:rsidRDefault="0052517A" w:rsidP="0052517A">
            <w:pPr>
              <w:jc w:val="right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Other</w:t>
            </w:r>
          </w:p>
        </w:tc>
        <w:tc>
          <w:tcPr>
            <w:tcW w:w="4320" w:type="dxa"/>
          </w:tcPr>
          <w:p w14:paraId="0C4ABBC2" w14:textId="6CEC7D43" w:rsidR="0052517A" w:rsidRPr="00A21AE1" w:rsidRDefault="0052517A" w:rsidP="0052517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2 (18.2%)</w:t>
            </w:r>
          </w:p>
        </w:tc>
      </w:tr>
      <w:tr w:rsidR="0052517A" w:rsidRPr="00A21AE1" w14:paraId="4C3EDDC4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115FC7A" w14:textId="77777777" w:rsidR="009534FB" w:rsidRPr="00A21AE1" w:rsidRDefault="00000000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Duration of mechanical ventilation, mean ± SD (h)</w:t>
            </w:r>
          </w:p>
        </w:tc>
        <w:tc>
          <w:tcPr>
            <w:tcW w:w="4320" w:type="dxa"/>
          </w:tcPr>
          <w:p w14:paraId="6383A431" w14:textId="77777777" w:rsidR="009534FB" w:rsidRPr="00A21AE1" w:rsidRDefault="00000000" w:rsidP="005251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124.55 ± 83.98</w:t>
            </w:r>
          </w:p>
        </w:tc>
      </w:tr>
      <w:tr w:rsidR="0052517A" w:rsidRPr="00A21AE1" w14:paraId="19F81919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2CE8C9C" w14:textId="77777777" w:rsidR="009534FB" w:rsidRPr="00A21AE1" w:rsidRDefault="00000000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Reintubation, n (%)</w:t>
            </w:r>
          </w:p>
        </w:tc>
        <w:tc>
          <w:tcPr>
            <w:tcW w:w="4320" w:type="dxa"/>
          </w:tcPr>
          <w:p w14:paraId="68F4FF6E" w14:textId="77777777" w:rsidR="009534FB" w:rsidRPr="00A21AE1" w:rsidRDefault="00000000" w:rsidP="0052517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3 (27.3%)</w:t>
            </w:r>
          </w:p>
        </w:tc>
      </w:tr>
      <w:tr w:rsidR="0052517A" w:rsidRPr="00A21AE1" w14:paraId="4CD746FF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5DE78A67" w14:textId="7AB925E9" w:rsidR="009534FB" w:rsidRPr="00A21AE1" w:rsidRDefault="0052517A" w:rsidP="0052517A">
            <w:pPr>
              <w:jc w:val="right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due to dysphagia, n (%)</w:t>
            </w:r>
          </w:p>
        </w:tc>
        <w:tc>
          <w:tcPr>
            <w:tcW w:w="4320" w:type="dxa"/>
          </w:tcPr>
          <w:p w14:paraId="16B585B6" w14:textId="77777777" w:rsidR="009534FB" w:rsidRPr="00A21AE1" w:rsidRDefault="00000000" w:rsidP="005251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3 (27.3%)</w:t>
            </w:r>
          </w:p>
        </w:tc>
      </w:tr>
      <w:tr w:rsidR="0052517A" w:rsidRPr="00A21AE1" w14:paraId="05A166EA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9CB8118" w14:textId="77777777" w:rsidR="009534FB" w:rsidRPr="00A21AE1" w:rsidRDefault="00000000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Pneumonia after extubation, n (%)</w:t>
            </w:r>
          </w:p>
        </w:tc>
        <w:tc>
          <w:tcPr>
            <w:tcW w:w="4320" w:type="dxa"/>
          </w:tcPr>
          <w:p w14:paraId="0F247B78" w14:textId="77777777" w:rsidR="009534FB" w:rsidRPr="00A21AE1" w:rsidRDefault="00000000" w:rsidP="0052517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4 (36.4%)</w:t>
            </w:r>
          </w:p>
        </w:tc>
      </w:tr>
      <w:tr w:rsidR="0052517A" w:rsidRPr="00A21AE1" w14:paraId="69D519E0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1BF5DAF4" w14:textId="77777777" w:rsidR="009534FB" w:rsidRPr="00A21AE1" w:rsidRDefault="00000000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Tracheostomy during admission, n (%)</w:t>
            </w:r>
          </w:p>
        </w:tc>
        <w:tc>
          <w:tcPr>
            <w:tcW w:w="4320" w:type="dxa"/>
          </w:tcPr>
          <w:p w14:paraId="41DD821B" w14:textId="77777777" w:rsidR="009534FB" w:rsidRPr="00A21AE1" w:rsidRDefault="00000000" w:rsidP="0052517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3 (27.3%)</w:t>
            </w:r>
          </w:p>
        </w:tc>
      </w:tr>
      <w:tr w:rsidR="0052517A" w:rsidRPr="00A21AE1" w14:paraId="47EE6A3B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F4E9EF0" w14:textId="77777777" w:rsidR="009534FB" w:rsidRPr="00A21AE1" w:rsidRDefault="00000000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In-hospital mortality, n (%)</w:t>
            </w:r>
          </w:p>
        </w:tc>
        <w:tc>
          <w:tcPr>
            <w:tcW w:w="4320" w:type="dxa"/>
          </w:tcPr>
          <w:p w14:paraId="76341AA0" w14:textId="77777777" w:rsidR="009534FB" w:rsidRPr="00A21AE1" w:rsidRDefault="00000000" w:rsidP="0052517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0 (0%)</w:t>
            </w:r>
          </w:p>
        </w:tc>
      </w:tr>
    </w:tbl>
    <w:p w14:paraId="25B5E52E" w14:textId="77777777" w:rsidR="0052517A" w:rsidRPr="00A21AE1" w:rsidRDefault="0052517A">
      <w:pPr>
        <w:rPr>
          <w:rFonts w:cs="Arial"/>
          <w:b/>
          <w:color w:val="000000" w:themeColor="text1"/>
        </w:rPr>
      </w:pPr>
    </w:p>
    <w:p w14:paraId="206E27E3" w14:textId="3A568EED" w:rsidR="009534FB" w:rsidRPr="00A21AE1" w:rsidRDefault="00000000">
      <w:pPr>
        <w:rPr>
          <w:rFonts w:cs="Arial"/>
          <w:color w:val="000000" w:themeColor="text1"/>
        </w:rPr>
      </w:pPr>
      <w:r w:rsidRPr="00A21AE1">
        <w:rPr>
          <w:rFonts w:cs="Arial"/>
          <w:b/>
          <w:color w:val="000000" w:themeColor="text1"/>
        </w:rPr>
        <w:t>Table S2. Interrater reliability of OMF in non-stroke patients.</w:t>
      </w:r>
    </w:p>
    <w:tbl>
      <w:tblPr>
        <w:tblStyle w:val="Gitternetztabelle4"/>
        <w:tblW w:w="0" w:type="auto"/>
        <w:tblLook w:val="04A0" w:firstRow="1" w:lastRow="0" w:firstColumn="1" w:lastColumn="0" w:noHBand="0" w:noVBand="1"/>
      </w:tblPr>
      <w:tblGrid>
        <w:gridCol w:w="4219"/>
        <w:gridCol w:w="2410"/>
      </w:tblGrid>
      <w:tr w:rsidR="0052517A" w:rsidRPr="00A21AE1" w14:paraId="1D2D74C3" w14:textId="77777777" w:rsidTr="00D43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</w:tcPr>
          <w:p w14:paraId="3CFCE9C2" w14:textId="77777777" w:rsidR="0052517A" w:rsidRPr="00D43E4A" w:rsidRDefault="0052517A" w:rsidP="0052517A">
            <w:pPr>
              <w:jc w:val="center"/>
              <w:rPr>
                <w:rFonts w:cs="Arial"/>
                <w:b w:val="0"/>
                <w:bCs w:val="0"/>
                <w:color w:val="000000" w:themeColor="text1"/>
              </w:rPr>
            </w:pPr>
            <w:r w:rsidRPr="00D43E4A">
              <w:rPr>
                <w:rFonts w:cs="Arial"/>
                <w:b w:val="0"/>
                <w:bCs w:val="0"/>
              </w:rPr>
              <w:t>Score</w:t>
            </w:r>
          </w:p>
        </w:tc>
        <w:tc>
          <w:tcPr>
            <w:tcW w:w="2410" w:type="dxa"/>
          </w:tcPr>
          <w:p w14:paraId="4DA09D74" w14:textId="77777777" w:rsidR="0052517A" w:rsidRPr="00D43E4A" w:rsidRDefault="0052517A" w:rsidP="005251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color w:val="000000" w:themeColor="text1"/>
              </w:rPr>
            </w:pPr>
            <w:r w:rsidRPr="00D43E4A">
              <w:rPr>
                <w:rFonts w:cs="Arial"/>
                <w:b w:val="0"/>
                <w:bCs w:val="0"/>
              </w:rPr>
              <w:t>ICC (95% CI)</w:t>
            </w:r>
          </w:p>
        </w:tc>
      </w:tr>
      <w:tr w:rsidR="0052517A" w:rsidRPr="00A21AE1" w14:paraId="24CC820D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</w:tcPr>
          <w:p w14:paraId="73E51B07" w14:textId="466C045A" w:rsidR="0052517A" w:rsidRPr="00A21AE1" w:rsidRDefault="0052517A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OMF total score (average measures)</w:t>
            </w:r>
          </w:p>
        </w:tc>
        <w:tc>
          <w:tcPr>
            <w:tcW w:w="2410" w:type="dxa"/>
          </w:tcPr>
          <w:p w14:paraId="374AD29B" w14:textId="6ADB1EC5" w:rsidR="0052517A" w:rsidRPr="00A21AE1" w:rsidRDefault="0052517A" w:rsidP="00525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0.921 (0.782 – 0.977)</w:t>
            </w:r>
          </w:p>
        </w:tc>
      </w:tr>
      <w:tr w:rsidR="0052517A" w:rsidRPr="00A21AE1" w14:paraId="13AA1A85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19" w:type="dxa"/>
          </w:tcPr>
          <w:p w14:paraId="601BEC57" w14:textId="108DEAE3" w:rsidR="0052517A" w:rsidRPr="00A21AE1" w:rsidRDefault="0052517A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OMF total score</w:t>
            </w:r>
          </w:p>
        </w:tc>
        <w:tc>
          <w:tcPr>
            <w:tcW w:w="2410" w:type="dxa"/>
          </w:tcPr>
          <w:p w14:paraId="2A46B33A" w14:textId="3EDFBCF8" w:rsidR="0052517A" w:rsidRPr="00A21AE1" w:rsidRDefault="00525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0.795 (0.544 – 0.934)</w:t>
            </w:r>
          </w:p>
        </w:tc>
      </w:tr>
    </w:tbl>
    <w:p w14:paraId="28657918" w14:textId="77777777" w:rsidR="0052517A" w:rsidRPr="00A21AE1" w:rsidRDefault="0052517A">
      <w:pPr>
        <w:rPr>
          <w:rFonts w:cs="Arial"/>
          <w:b/>
          <w:color w:val="000000" w:themeColor="text1"/>
        </w:rPr>
      </w:pPr>
    </w:p>
    <w:p w14:paraId="66A44305" w14:textId="06186991" w:rsidR="00400596" w:rsidRPr="00A21AE1" w:rsidRDefault="00400596" w:rsidP="00400596">
      <w:pPr>
        <w:pStyle w:val="berschrift1"/>
        <w:rPr>
          <w:rFonts w:ascii="Arial" w:hAnsi="Arial" w:cs="Arial"/>
          <w:color w:val="000000" w:themeColor="text1"/>
          <w:sz w:val="22"/>
          <w:szCs w:val="22"/>
        </w:rPr>
      </w:pPr>
      <w:r w:rsidRPr="00A21AE1">
        <w:rPr>
          <w:rFonts w:ascii="Arial" w:hAnsi="Arial" w:cs="Arial"/>
          <w:color w:val="000000" w:themeColor="text1"/>
          <w:sz w:val="22"/>
          <w:szCs w:val="22"/>
        </w:rPr>
        <w:t>Table S3. ROC coordinates for DEFISS predicting dysphagia-related reintubation</w:t>
      </w:r>
    </w:p>
    <w:p w14:paraId="46AC1512" w14:textId="77777777" w:rsidR="00400596" w:rsidRPr="00A21AE1" w:rsidRDefault="00400596" w:rsidP="00400596">
      <w:pPr>
        <w:rPr>
          <w:rFonts w:cs="Arial"/>
        </w:rPr>
      </w:pPr>
      <w:r w:rsidRPr="00A21AE1">
        <w:rPr>
          <w:rFonts w:cs="Arial"/>
        </w:rPr>
        <w:t>n = 39, events = 5. Youden’s J = Sensitivity + Specificity – 1. The optimal cutoff (highest J) is highlighted in bold.</w:t>
      </w:r>
    </w:p>
    <w:tbl>
      <w:tblPr>
        <w:tblStyle w:val="Gitternetztabelle4"/>
        <w:tblW w:w="0" w:type="auto"/>
        <w:tblLook w:val="04A0" w:firstRow="1" w:lastRow="0" w:firstColumn="1" w:lastColumn="0" w:noHBand="0" w:noVBand="1"/>
      </w:tblPr>
      <w:tblGrid>
        <w:gridCol w:w="1726"/>
        <w:gridCol w:w="1726"/>
        <w:gridCol w:w="1726"/>
        <w:gridCol w:w="1726"/>
        <w:gridCol w:w="1726"/>
      </w:tblGrid>
      <w:tr w:rsidR="00400596" w:rsidRPr="00A21AE1" w14:paraId="56D2D3B8" w14:textId="77777777" w:rsidTr="00D43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52B12FDA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Cutoff (≥)</w:t>
            </w:r>
          </w:p>
        </w:tc>
        <w:tc>
          <w:tcPr>
            <w:tcW w:w="1728" w:type="dxa"/>
          </w:tcPr>
          <w:p w14:paraId="72858FA4" w14:textId="77777777" w:rsidR="00400596" w:rsidRPr="00D43E4A" w:rsidRDefault="00400596" w:rsidP="00C752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Sensitivity</w:t>
            </w:r>
          </w:p>
        </w:tc>
        <w:tc>
          <w:tcPr>
            <w:tcW w:w="1728" w:type="dxa"/>
          </w:tcPr>
          <w:p w14:paraId="08E4716E" w14:textId="77777777" w:rsidR="00400596" w:rsidRPr="00D43E4A" w:rsidRDefault="00400596" w:rsidP="00C752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1 – Specificity</w:t>
            </w:r>
          </w:p>
        </w:tc>
        <w:tc>
          <w:tcPr>
            <w:tcW w:w="1728" w:type="dxa"/>
          </w:tcPr>
          <w:p w14:paraId="3EE03D30" w14:textId="77777777" w:rsidR="00400596" w:rsidRPr="00D43E4A" w:rsidRDefault="00400596" w:rsidP="00C752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Specificity</w:t>
            </w:r>
          </w:p>
        </w:tc>
        <w:tc>
          <w:tcPr>
            <w:tcW w:w="1728" w:type="dxa"/>
          </w:tcPr>
          <w:p w14:paraId="3B982511" w14:textId="77777777" w:rsidR="00400596" w:rsidRPr="00D43E4A" w:rsidRDefault="00400596" w:rsidP="00C752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Youden’s J</w:t>
            </w:r>
          </w:p>
        </w:tc>
      </w:tr>
      <w:tr w:rsidR="00400596" w:rsidRPr="00A21AE1" w14:paraId="35EC911E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71110BD0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–0.67</w:t>
            </w:r>
          </w:p>
        </w:tc>
        <w:tc>
          <w:tcPr>
            <w:tcW w:w="1728" w:type="dxa"/>
          </w:tcPr>
          <w:p w14:paraId="35FF1FD4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1.00</w:t>
            </w:r>
          </w:p>
        </w:tc>
        <w:tc>
          <w:tcPr>
            <w:tcW w:w="1728" w:type="dxa"/>
          </w:tcPr>
          <w:p w14:paraId="1774C5D6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1.000</w:t>
            </w:r>
          </w:p>
        </w:tc>
        <w:tc>
          <w:tcPr>
            <w:tcW w:w="1728" w:type="dxa"/>
          </w:tcPr>
          <w:p w14:paraId="75D65098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0.00</w:t>
            </w:r>
          </w:p>
        </w:tc>
        <w:tc>
          <w:tcPr>
            <w:tcW w:w="1728" w:type="dxa"/>
          </w:tcPr>
          <w:p w14:paraId="39DEDDB7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0.000</w:t>
            </w:r>
          </w:p>
        </w:tc>
      </w:tr>
      <w:tr w:rsidR="00400596" w:rsidRPr="00A21AE1" w14:paraId="7BEE8AD4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4F880B5B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0.67</w:t>
            </w:r>
          </w:p>
        </w:tc>
        <w:tc>
          <w:tcPr>
            <w:tcW w:w="1728" w:type="dxa"/>
          </w:tcPr>
          <w:p w14:paraId="31288BA2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1.00</w:t>
            </w:r>
          </w:p>
        </w:tc>
        <w:tc>
          <w:tcPr>
            <w:tcW w:w="1728" w:type="dxa"/>
          </w:tcPr>
          <w:p w14:paraId="7B819D11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0.971</w:t>
            </w:r>
          </w:p>
        </w:tc>
        <w:tc>
          <w:tcPr>
            <w:tcW w:w="1728" w:type="dxa"/>
          </w:tcPr>
          <w:p w14:paraId="36737F80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0.03</w:t>
            </w:r>
          </w:p>
        </w:tc>
        <w:tc>
          <w:tcPr>
            <w:tcW w:w="1728" w:type="dxa"/>
          </w:tcPr>
          <w:p w14:paraId="07EF21C0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0.029</w:t>
            </w:r>
          </w:p>
        </w:tc>
      </w:tr>
      <w:tr w:rsidR="00400596" w:rsidRPr="00A21AE1" w14:paraId="6838F5C1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0950DD2E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1.33</w:t>
            </w:r>
          </w:p>
        </w:tc>
        <w:tc>
          <w:tcPr>
            <w:tcW w:w="1728" w:type="dxa"/>
          </w:tcPr>
          <w:p w14:paraId="7E41F26B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0.80</w:t>
            </w:r>
          </w:p>
        </w:tc>
        <w:tc>
          <w:tcPr>
            <w:tcW w:w="1728" w:type="dxa"/>
          </w:tcPr>
          <w:p w14:paraId="42FDE25D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0.676</w:t>
            </w:r>
          </w:p>
        </w:tc>
        <w:tc>
          <w:tcPr>
            <w:tcW w:w="1728" w:type="dxa"/>
          </w:tcPr>
          <w:p w14:paraId="20E1EE6B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0.32</w:t>
            </w:r>
          </w:p>
        </w:tc>
        <w:tc>
          <w:tcPr>
            <w:tcW w:w="1728" w:type="dxa"/>
          </w:tcPr>
          <w:p w14:paraId="1684302D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0.124</w:t>
            </w:r>
          </w:p>
        </w:tc>
      </w:tr>
      <w:tr w:rsidR="00400596" w:rsidRPr="00A21AE1" w14:paraId="6E577F23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6C38CAEC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1.83</w:t>
            </w:r>
          </w:p>
        </w:tc>
        <w:tc>
          <w:tcPr>
            <w:tcW w:w="1728" w:type="dxa"/>
          </w:tcPr>
          <w:p w14:paraId="59CDA975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0.80</w:t>
            </w:r>
          </w:p>
        </w:tc>
        <w:tc>
          <w:tcPr>
            <w:tcW w:w="1728" w:type="dxa"/>
          </w:tcPr>
          <w:p w14:paraId="41EAD2BB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0.647</w:t>
            </w:r>
          </w:p>
        </w:tc>
        <w:tc>
          <w:tcPr>
            <w:tcW w:w="1728" w:type="dxa"/>
          </w:tcPr>
          <w:p w14:paraId="68A338FB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0.35</w:t>
            </w:r>
          </w:p>
        </w:tc>
        <w:tc>
          <w:tcPr>
            <w:tcW w:w="1728" w:type="dxa"/>
          </w:tcPr>
          <w:p w14:paraId="58CDE859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0.153</w:t>
            </w:r>
          </w:p>
        </w:tc>
      </w:tr>
      <w:tr w:rsidR="00400596" w:rsidRPr="00A21AE1" w14:paraId="40082A47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2DB555A1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2.17</w:t>
            </w:r>
          </w:p>
        </w:tc>
        <w:tc>
          <w:tcPr>
            <w:tcW w:w="1728" w:type="dxa"/>
          </w:tcPr>
          <w:p w14:paraId="20A2DB54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0.80</w:t>
            </w:r>
          </w:p>
        </w:tc>
        <w:tc>
          <w:tcPr>
            <w:tcW w:w="1728" w:type="dxa"/>
          </w:tcPr>
          <w:p w14:paraId="22C4F731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0.471</w:t>
            </w:r>
          </w:p>
        </w:tc>
        <w:tc>
          <w:tcPr>
            <w:tcW w:w="1728" w:type="dxa"/>
          </w:tcPr>
          <w:p w14:paraId="794BC5D3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0.53</w:t>
            </w:r>
          </w:p>
        </w:tc>
        <w:tc>
          <w:tcPr>
            <w:tcW w:w="1728" w:type="dxa"/>
          </w:tcPr>
          <w:p w14:paraId="6AF1243D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0.329</w:t>
            </w:r>
          </w:p>
        </w:tc>
      </w:tr>
      <w:tr w:rsidR="00400596" w:rsidRPr="00A21AE1" w14:paraId="63E63F32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144AB1D9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2.50</w:t>
            </w:r>
          </w:p>
        </w:tc>
        <w:tc>
          <w:tcPr>
            <w:tcW w:w="1728" w:type="dxa"/>
          </w:tcPr>
          <w:p w14:paraId="10959353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0.80</w:t>
            </w:r>
          </w:p>
        </w:tc>
        <w:tc>
          <w:tcPr>
            <w:tcW w:w="1728" w:type="dxa"/>
          </w:tcPr>
          <w:p w14:paraId="55418130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0.441</w:t>
            </w:r>
          </w:p>
        </w:tc>
        <w:tc>
          <w:tcPr>
            <w:tcW w:w="1728" w:type="dxa"/>
          </w:tcPr>
          <w:p w14:paraId="4D05E474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0.56</w:t>
            </w:r>
          </w:p>
        </w:tc>
        <w:tc>
          <w:tcPr>
            <w:tcW w:w="1728" w:type="dxa"/>
          </w:tcPr>
          <w:p w14:paraId="761A240F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0.359</w:t>
            </w:r>
          </w:p>
        </w:tc>
      </w:tr>
      <w:tr w:rsidR="00400596" w:rsidRPr="00A21AE1" w14:paraId="59EAF963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131342A6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2.83</w:t>
            </w:r>
          </w:p>
        </w:tc>
        <w:tc>
          <w:tcPr>
            <w:tcW w:w="1728" w:type="dxa"/>
          </w:tcPr>
          <w:p w14:paraId="64F099D8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0.80</w:t>
            </w:r>
          </w:p>
        </w:tc>
        <w:tc>
          <w:tcPr>
            <w:tcW w:w="1728" w:type="dxa"/>
          </w:tcPr>
          <w:p w14:paraId="7D4ACE81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0.382</w:t>
            </w:r>
          </w:p>
        </w:tc>
        <w:tc>
          <w:tcPr>
            <w:tcW w:w="1728" w:type="dxa"/>
          </w:tcPr>
          <w:p w14:paraId="39E11F4D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0.62</w:t>
            </w:r>
          </w:p>
        </w:tc>
        <w:tc>
          <w:tcPr>
            <w:tcW w:w="1728" w:type="dxa"/>
          </w:tcPr>
          <w:p w14:paraId="0C7AB128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0.418</w:t>
            </w:r>
          </w:p>
        </w:tc>
      </w:tr>
      <w:tr w:rsidR="00400596" w:rsidRPr="00A21AE1" w14:paraId="56368D9E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266E2B1A" w14:textId="77777777" w:rsidR="00400596" w:rsidRPr="00D43E4A" w:rsidRDefault="00400596" w:rsidP="00C7522E">
            <w:pPr>
              <w:rPr>
                <w:rFonts w:cs="Arial"/>
              </w:rPr>
            </w:pPr>
            <w:r w:rsidRPr="00D43E4A">
              <w:rPr>
                <w:rFonts w:cs="Arial"/>
              </w:rPr>
              <w:t>**3.33**</w:t>
            </w:r>
          </w:p>
        </w:tc>
        <w:tc>
          <w:tcPr>
            <w:tcW w:w="1728" w:type="dxa"/>
          </w:tcPr>
          <w:p w14:paraId="6B7839A4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A21AE1">
              <w:rPr>
                <w:rFonts w:cs="Arial"/>
                <w:b/>
                <w:bCs/>
              </w:rPr>
              <w:t>**0.80**</w:t>
            </w:r>
          </w:p>
        </w:tc>
        <w:tc>
          <w:tcPr>
            <w:tcW w:w="1728" w:type="dxa"/>
          </w:tcPr>
          <w:p w14:paraId="7E48476E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A21AE1">
              <w:rPr>
                <w:rFonts w:cs="Arial"/>
                <w:b/>
                <w:bCs/>
              </w:rPr>
              <w:t>**0.294**</w:t>
            </w:r>
          </w:p>
        </w:tc>
        <w:tc>
          <w:tcPr>
            <w:tcW w:w="1728" w:type="dxa"/>
          </w:tcPr>
          <w:p w14:paraId="35E934BB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A21AE1">
              <w:rPr>
                <w:rFonts w:cs="Arial"/>
                <w:b/>
                <w:bCs/>
              </w:rPr>
              <w:t>**0.71**</w:t>
            </w:r>
          </w:p>
        </w:tc>
        <w:tc>
          <w:tcPr>
            <w:tcW w:w="1728" w:type="dxa"/>
          </w:tcPr>
          <w:p w14:paraId="4E98C7D1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A21AE1">
              <w:rPr>
                <w:rFonts w:cs="Arial"/>
                <w:b/>
                <w:bCs/>
              </w:rPr>
              <w:t>**0.506**</w:t>
            </w:r>
          </w:p>
        </w:tc>
      </w:tr>
      <w:tr w:rsidR="00400596" w:rsidRPr="00A21AE1" w14:paraId="5F30D092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05E3C76F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3.83</w:t>
            </w:r>
          </w:p>
        </w:tc>
        <w:tc>
          <w:tcPr>
            <w:tcW w:w="1728" w:type="dxa"/>
          </w:tcPr>
          <w:p w14:paraId="0E66A96C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0.60</w:t>
            </w:r>
          </w:p>
        </w:tc>
        <w:tc>
          <w:tcPr>
            <w:tcW w:w="1728" w:type="dxa"/>
          </w:tcPr>
          <w:p w14:paraId="137E3B46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0.265</w:t>
            </w:r>
          </w:p>
        </w:tc>
        <w:tc>
          <w:tcPr>
            <w:tcW w:w="1728" w:type="dxa"/>
          </w:tcPr>
          <w:p w14:paraId="6CB4B841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0.74</w:t>
            </w:r>
          </w:p>
        </w:tc>
        <w:tc>
          <w:tcPr>
            <w:tcW w:w="1728" w:type="dxa"/>
          </w:tcPr>
          <w:p w14:paraId="6C0D8EEB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0.335</w:t>
            </w:r>
          </w:p>
        </w:tc>
      </w:tr>
      <w:tr w:rsidR="00400596" w:rsidRPr="00A21AE1" w14:paraId="13A1D4B0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6EBE4CF9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4.17</w:t>
            </w:r>
          </w:p>
        </w:tc>
        <w:tc>
          <w:tcPr>
            <w:tcW w:w="1728" w:type="dxa"/>
          </w:tcPr>
          <w:p w14:paraId="159BE7CB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0.40</w:t>
            </w:r>
          </w:p>
        </w:tc>
        <w:tc>
          <w:tcPr>
            <w:tcW w:w="1728" w:type="dxa"/>
          </w:tcPr>
          <w:p w14:paraId="1918097A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0.088</w:t>
            </w:r>
          </w:p>
        </w:tc>
        <w:tc>
          <w:tcPr>
            <w:tcW w:w="1728" w:type="dxa"/>
          </w:tcPr>
          <w:p w14:paraId="4A303FAC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0.91</w:t>
            </w:r>
          </w:p>
        </w:tc>
        <w:tc>
          <w:tcPr>
            <w:tcW w:w="1728" w:type="dxa"/>
          </w:tcPr>
          <w:p w14:paraId="380785B9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0.312</w:t>
            </w:r>
          </w:p>
        </w:tc>
      </w:tr>
      <w:tr w:rsidR="00400596" w:rsidRPr="00A21AE1" w14:paraId="1A8A2DC2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42692C8B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4.67</w:t>
            </w:r>
          </w:p>
        </w:tc>
        <w:tc>
          <w:tcPr>
            <w:tcW w:w="1728" w:type="dxa"/>
          </w:tcPr>
          <w:p w14:paraId="57DEAAB5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0.40</w:t>
            </w:r>
          </w:p>
        </w:tc>
        <w:tc>
          <w:tcPr>
            <w:tcW w:w="1728" w:type="dxa"/>
          </w:tcPr>
          <w:p w14:paraId="1447D645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0.029</w:t>
            </w:r>
          </w:p>
        </w:tc>
        <w:tc>
          <w:tcPr>
            <w:tcW w:w="1728" w:type="dxa"/>
          </w:tcPr>
          <w:p w14:paraId="22F3D9DA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0.97</w:t>
            </w:r>
          </w:p>
        </w:tc>
        <w:tc>
          <w:tcPr>
            <w:tcW w:w="1728" w:type="dxa"/>
          </w:tcPr>
          <w:p w14:paraId="7FF9504A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0.371</w:t>
            </w:r>
          </w:p>
        </w:tc>
      </w:tr>
      <w:tr w:rsidR="00400596" w:rsidRPr="00A21AE1" w14:paraId="23B78725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420A1D27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5.17</w:t>
            </w:r>
          </w:p>
        </w:tc>
        <w:tc>
          <w:tcPr>
            <w:tcW w:w="1728" w:type="dxa"/>
          </w:tcPr>
          <w:p w14:paraId="190D4B6B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0.40</w:t>
            </w:r>
          </w:p>
        </w:tc>
        <w:tc>
          <w:tcPr>
            <w:tcW w:w="1728" w:type="dxa"/>
          </w:tcPr>
          <w:p w14:paraId="2E131114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0.000</w:t>
            </w:r>
          </w:p>
        </w:tc>
        <w:tc>
          <w:tcPr>
            <w:tcW w:w="1728" w:type="dxa"/>
          </w:tcPr>
          <w:p w14:paraId="2C82F180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1.00</w:t>
            </w:r>
          </w:p>
        </w:tc>
        <w:tc>
          <w:tcPr>
            <w:tcW w:w="1728" w:type="dxa"/>
          </w:tcPr>
          <w:p w14:paraId="36778F0C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0.400</w:t>
            </w:r>
          </w:p>
        </w:tc>
      </w:tr>
      <w:tr w:rsidR="00400596" w:rsidRPr="00A21AE1" w14:paraId="32308914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52C84A5E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6.17</w:t>
            </w:r>
          </w:p>
        </w:tc>
        <w:tc>
          <w:tcPr>
            <w:tcW w:w="1728" w:type="dxa"/>
          </w:tcPr>
          <w:p w14:paraId="68D9CD44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0.20</w:t>
            </w:r>
          </w:p>
        </w:tc>
        <w:tc>
          <w:tcPr>
            <w:tcW w:w="1728" w:type="dxa"/>
          </w:tcPr>
          <w:p w14:paraId="06A490BC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0.000</w:t>
            </w:r>
          </w:p>
        </w:tc>
        <w:tc>
          <w:tcPr>
            <w:tcW w:w="1728" w:type="dxa"/>
          </w:tcPr>
          <w:p w14:paraId="72512667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1.00</w:t>
            </w:r>
          </w:p>
        </w:tc>
        <w:tc>
          <w:tcPr>
            <w:tcW w:w="1728" w:type="dxa"/>
          </w:tcPr>
          <w:p w14:paraId="2E3B40C5" w14:textId="77777777" w:rsidR="00400596" w:rsidRPr="00A21AE1" w:rsidRDefault="00400596" w:rsidP="00C752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0.200</w:t>
            </w:r>
          </w:p>
        </w:tc>
      </w:tr>
      <w:tr w:rsidR="00400596" w:rsidRPr="00A21AE1" w14:paraId="7EF76B5F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0B0790FF" w14:textId="77777777" w:rsidR="00400596" w:rsidRPr="00D43E4A" w:rsidRDefault="00400596" w:rsidP="00C7522E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8.00</w:t>
            </w:r>
          </w:p>
        </w:tc>
        <w:tc>
          <w:tcPr>
            <w:tcW w:w="1728" w:type="dxa"/>
          </w:tcPr>
          <w:p w14:paraId="3C523A1D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0.00</w:t>
            </w:r>
          </w:p>
        </w:tc>
        <w:tc>
          <w:tcPr>
            <w:tcW w:w="1728" w:type="dxa"/>
          </w:tcPr>
          <w:p w14:paraId="398C3C35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0.000</w:t>
            </w:r>
          </w:p>
        </w:tc>
        <w:tc>
          <w:tcPr>
            <w:tcW w:w="1728" w:type="dxa"/>
          </w:tcPr>
          <w:p w14:paraId="53EE96A4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1.00</w:t>
            </w:r>
          </w:p>
        </w:tc>
        <w:tc>
          <w:tcPr>
            <w:tcW w:w="1728" w:type="dxa"/>
          </w:tcPr>
          <w:p w14:paraId="0316062C" w14:textId="77777777" w:rsidR="00400596" w:rsidRPr="00A21AE1" w:rsidRDefault="00400596" w:rsidP="00C75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A21AE1">
              <w:rPr>
                <w:rFonts w:cs="Arial"/>
              </w:rPr>
              <w:t>0.000</w:t>
            </w:r>
          </w:p>
        </w:tc>
      </w:tr>
    </w:tbl>
    <w:p w14:paraId="78F019AA" w14:textId="05986C83" w:rsidR="006E1052" w:rsidRPr="00A21AE1" w:rsidRDefault="00400596">
      <w:pPr>
        <w:rPr>
          <w:rFonts w:cs="Arial"/>
        </w:rPr>
      </w:pPr>
      <w:r w:rsidRPr="00A21AE1">
        <w:rPr>
          <w:rFonts w:cs="Arial"/>
        </w:rPr>
        <w:t>Note. The Youden-optimal cutoff was DEFISS ≥ 3.33 (J = 0.506; sensitivity 0.80; specificity 0.71). The pre-specified threshold remained DEFISS ≥ 4. SPSS flagged ties; upper CI truncated at 1.000 in the main text.</w:t>
      </w:r>
    </w:p>
    <w:p w14:paraId="54A5EF7C" w14:textId="4736DBF0" w:rsidR="009534FB" w:rsidRPr="00A21AE1" w:rsidRDefault="00000000">
      <w:pPr>
        <w:rPr>
          <w:rFonts w:cs="Arial"/>
          <w:color w:val="000000" w:themeColor="text1"/>
        </w:rPr>
      </w:pPr>
      <w:r w:rsidRPr="00A21AE1">
        <w:rPr>
          <w:rFonts w:cs="Arial"/>
          <w:b/>
          <w:color w:val="000000" w:themeColor="text1"/>
        </w:rPr>
        <w:lastRenderedPageBreak/>
        <w:t>Table S</w:t>
      </w:r>
      <w:r w:rsidR="00400596" w:rsidRPr="00A21AE1">
        <w:rPr>
          <w:rFonts w:cs="Arial"/>
          <w:b/>
          <w:color w:val="000000" w:themeColor="text1"/>
        </w:rPr>
        <w:t>4</w:t>
      </w:r>
      <w:r w:rsidRPr="00A21AE1">
        <w:rPr>
          <w:rFonts w:cs="Arial"/>
          <w:b/>
          <w:color w:val="000000" w:themeColor="text1"/>
        </w:rPr>
        <w:t>. Association of OMF ≥4 with extubation failure (non-stroke patients).</w:t>
      </w:r>
    </w:p>
    <w:tbl>
      <w:tblPr>
        <w:tblStyle w:val="Gitternetztabelle4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52517A" w:rsidRPr="00A21AE1" w14:paraId="29035C7B" w14:textId="77777777" w:rsidTr="00D43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CE13BD0" w14:textId="77777777" w:rsidR="009534FB" w:rsidRPr="00D43E4A" w:rsidRDefault="00000000" w:rsidP="0052517A">
            <w:pPr>
              <w:jc w:val="center"/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OMF group</w:t>
            </w:r>
          </w:p>
        </w:tc>
        <w:tc>
          <w:tcPr>
            <w:tcW w:w="2880" w:type="dxa"/>
          </w:tcPr>
          <w:p w14:paraId="67C09D9C" w14:textId="77777777" w:rsidR="009534FB" w:rsidRPr="00D43E4A" w:rsidRDefault="00000000" w:rsidP="005251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Extubation failure</w:t>
            </w:r>
          </w:p>
        </w:tc>
        <w:tc>
          <w:tcPr>
            <w:tcW w:w="2880" w:type="dxa"/>
          </w:tcPr>
          <w:p w14:paraId="636B5E09" w14:textId="77777777" w:rsidR="009534FB" w:rsidRPr="00D43E4A" w:rsidRDefault="00000000" w:rsidP="005251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  <w:b w:val="0"/>
                <w:bCs w:val="0"/>
              </w:rPr>
              <w:t>Extubation success</w:t>
            </w:r>
          </w:p>
        </w:tc>
      </w:tr>
      <w:tr w:rsidR="0052517A" w:rsidRPr="00A21AE1" w14:paraId="70B039A0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0FFB307" w14:textId="77777777" w:rsidR="009534FB" w:rsidRPr="00A21AE1" w:rsidRDefault="00000000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OMF &lt;4</w:t>
            </w:r>
          </w:p>
        </w:tc>
        <w:tc>
          <w:tcPr>
            <w:tcW w:w="2880" w:type="dxa"/>
          </w:tcPr>
          <w:p w14:paraId="6C83CCF0" w14:textId="77777777" w:rsidR="009534FB" w:rsidRPr="00A21AE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1759F247" w14:textId="77777777" w:rsidR="009534FB" w:rsidRPr="00A21AE1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6</w:t>
            </w:r>
          </w:p>
        </w:tc>
      </w:tr>
      <w:tr w:rsidR="0052517A" w:rsidRPr="00A21AE1" w14:paraId="29868B65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39F92EE" w14:textId="77777777" w:rsidR="009534FB" w:rsidRPr="00A21AE1" w:rsidRDefault="00000000">
            <w:pPr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OMF ≥4</w:t>
            </w:r>
          </w:p>
        </w:tc>
        <w:tc>
          <w:tcPr>
            <w:tcW w:w="2880" w:type="dxa"/>
          </w:tcPr>
          <w:p w14:paraId="0BD48C35" w14:textId="77777777" w:rsidR="009534FB" w:rsidRPr="00A21AE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0</w:t>
            </w:r>
          </w:p>
        </w:tc>
        <w:tc>
          <w:tcPr>
            <w:tcW w:w="2880" w:type="dxa"/>
          </w:tcPr>
          <w:p w14:paraId="74137543" w14:textId="77777777" w:rsidR="009534FB" w:rsidRPr="00A21AE1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</w:rPr>
            </w:pPr>
            <w:r w:rsidRPr="00A21AE1">
              <w:rPr>
                <w:rFonts w:cs="Arial"/>
                <w:color w:val="000000" w:themeColor="text1"/>
              </w:rPr>
              <w:t>2</w:t>
            </w:r>
          </w:p>
        </w:tc>
      </w:tr>
    </w:tbl>
    <w:p w14:paraId="5AC99789" w14:textId="43878108" w:rsidR="00400596" w:rsidRPr="00A21AE1" w:rsidRDefault="00000000">
      <w:pPr>
        <w:rPr>
          <w:rFonts w:cs="Arial"/>
        </w:rPr>
      </w:pPr>
      <w:r w:rsidRPr="00A21AE1">
        <w:rPr>
          <w:rFonts w:cs="Arial"/>
          <w:color w:val="000000" w:themeColor="text1"/>
        </w:rPr>
        <w:t>Abbreviations: OMF = Oral Motor Function; FEDSS = Fiberoptic Endoscopic Dysphagia Severity Scale; ICC = Intraclass Correlation Coefficient</w:t>
      </w:r>
      <w:r w:rsidRPr="00A21AE1">
        <w:rPr>
          <w:rFonts w:cs="Arial"/>
        </w:rPr>
        <w:t>.</w:t>
      </w:r>
    </w:p>
    <w:p w14:paraId="3705A2F2" w14:textId="77777777" w:rsidR="00400596" w:rsidRPr="00A21AE1" w:rsidRDefault="00400596">
      <w:pPr>
        <w:rPr>
          <w:rFonts w:cs="Arial"/>
        </w:rPr>
      </w:pPr>
    </w:p>
    <w:p w14:paraId="5F3C1EAC" w14:textId="4C8F19CD" w:rsidR="0063123C" w:rsidRPr="00C010FD" w:rsidRDefault="0063123C">
      <w:pPr>
        <w:rPr>
          <w:rFonts w:cs="Arial"/>
          <w:b/>
          <w:bCs/>
        </w:rPr>
      </w:pPr>
      <w:r w:rsidRPr="00A21AE1">
        <w:rPr>
          <w:rFonts w:cs="Arial"/>
          <w:b/>
          <w:bCs/>
        </w:rPr>
        <w:t>Oral Motor Function Scale</w:t>
      </w:r>
      <w:r w:rsidR="00D43E4A">
        <w:rPr>
          <w:rFonts w:cs="Arial"/>
          <w:b/>
          <w:bCs/>
        </w:rPr>
        <w:t xml:space="preserve"> </w:t>
      </w:r>
      <w:r w:rsidR="00D43E4A" w:rsidRPr="00C010FD">
        <w:rPr>
          <w:rFonts w:cs="Arial"/>
        </w:rPr>
        <w:t>(</w:t>
      </w:r>
      <w:r w:rsidR="00C010FD">
        <w:rPr>
          <w:rFonts w:cs="Arial"/>
        </w:rPr>
        <w:t xml:space="preserve">adapted </w:t>
      </w:r>
      <w:r w:rsidR="00D43E4A" w:rsidRPr="00C010FD">
        <w:rPr>
          <w:rFonts w:cs="Arial"/>
        </w:rPr>
        <w:t xml:space="preserve">from </w:t>
      </w:r>
      <w:r w:rsidR="00C010FD" w:rsidRPr="00C010FD">
        <w:rPr>
          <w:rFonts w:cs="Arial"/>
        </w:rPr>
        <w:t>Colonel et al. 2008</w:t>
      </w:r>
      <w:r w:rsidR="00C010FD" w:rsidRPr="00C010FD">
        <w:rPr>
          <w:rFonts w:cs="Arial"/>
          <w:vertAlign w:val="superscript"/>
        </w:rPr>
        <w:t>35</w:t>
      </w:r>
      <w:r w:rsidR="00C010FD" w:rsidRPr="00C010FD">
        <w:rPr>
          <w:rFonts w:cs="Arial"/>
        </w:rPr>
        <w:t>)</w:t>
      </w:r>
    </w:p>
    <w:tbl>
      <w:tblPr>
        <w:tblStyle w:val="Gitternetztabelle4"/>
        <w:tblW w:w="0" w:type="auto"/>
        <w:tblLook w:val="04A0" w:firstRow="1" w:lastRow="0" w:firstColumn="1" w:lastColumn="0" w:noHBand="0" w:noVBand="1"/>
      </w:tblPr>
      <w:tblGrid>
        <w:gridCol w:w="1363"/>
        <w:gridCol w:w="1558"/>
        <w:gridCol w:w="1513"/>
        <w:gridCol w:w="1409"/>
        <w:gridCol w:w="1394"/>
        <w:gridCol w:w="1393"/>
      </w:tblGrid>
      <w:tr w:rsidR="00D43E4A" w14:paraId="73CC6588" w14:textId="77777777" w:rsidTr="00D43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3" w:type="dxa"/>
          </w:tcPr>
          <w:p w14:paraId="7A356B29" w14:textId="336F6760" w:rsidR="00D43E4A" w:rsidRDefault="00D43E4A" w:rsidP="00D43E4A">
            <w:pPr>
              <w:jc w:val="center"/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OMF</w:t>
            </w:r>
          </w:p>
        </w:tc>
        <w:tc>
          <w:tcPr>
            <w:tcW w:w="1561" w:type="dxa"/>
          </w:tcPr>
          <w:p w14:paraId="51F7ACB9" w14:textId="77777777" w:rsidR="00D43E4A" w:rsidRDefault="00D43E4A" w:rsidP="00D43E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Saliva</w:t>
            </w:r>
          </w:p>
          <w:p w14:paraId="6E5CEF0A" w14:textId="4D11FAE6" w:rsidR="00D43E4A" w:rsidRDefault="00D43E4A" w:rsidP="00D43E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Management</w:t>
            </w:r>
          </w:p>
        </w:tc>
        <w:tc>
          <w:tcPr>
            <w:tcW w:w="1437" w:type="dxa"/>
          </w:tcPr>
          <w:p w14:paraId="7E4B4917" w14:textId="48DFB8B2" w:rsidR="00D43E4A" w:rsidRDefault="00D43E4A" w:rsidP="00D43E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Swallowing</w:t>
            </w:r>
          </w:p>
        </w:tc>
        <w:tc>
          <w:tcPr>
            <w:tcW w:w="1414" w:type="dxa"/>
          </w:tcPr>
          <w:p w14:paraId="293FFE4E" w14:textId="1333AD19" w:rsidR="00D43E4A" w:rsidRDefault="00D43E4A" w:rsidP="00D43E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Lip Closure</w:t>
            </w:r>
          </w:p>
        </w:tc>
        <w:tc>
          <w:tcPr>
            <w:tcW w:w="1413" w:type="dxa"/>
          </w:tcPr>
          <w:p w14:paraId="170BAF0F" w14:textId="1A123FD7" w:rsidR="00D43E4A" w:rsidRDefault="00D43E4A" w:rsidP="00D43E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Tongue Motility</w:t>
            </w:r>
          </w:p>
        </w:tc>
        <w:tc>
          <w:tcPr>
            <w:tcW w:w="1412" w:type="dxa"/>
          </w:tcPr>
          <w:p w14:paraId="3647992F" w14:textId="3E2E9649" w:rsidR="00D43E4A" w:rsidRDefault="00D43E4A" w:rsidP="00D43E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Jaw Motility</w:t>
            </w:r>
          </w:p>
        </w:tc>
      </w:tr>
      <w:tr w:rsidR="00D43E4A" w14:paraId="21ADA885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3" w:type="dxa"/>
          </w:tcPr>
          <w:p w14:paraId="035FFADC" w14:textId="1C48504E" w:rsidR="00D43E4A" w:rsidRPr="00D43E4A" w:rsidRDefault="00D43E4A">
            <w:pPr>
              <w:rPr>
                <w:rFonts w:cs="Arial"/>
              </w:rPr>
            </w:pPr>
            <w:r w:rsidRPr="00D43E4A">
              <w:rPr>
                <w:rFonts w:cs="Arial"/>
              </w:rPr>
              <w:t>0</w:t>
            </w:r>
          </w:p>
        </w:tc>
        <w:tc>
          <w:tcPr>
            <w:tcW w:w="1561" w:type="dxa"/>
          </w:tcPr>
          <w:p w14:paraId="14278558" w14:textId="4476F643" w:rsidR="00D43E4A" w:rsidRPr="00D43E4A" w:rsidRDefault="00D43E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No pooling</w:t>
            </w:r>
          </w:p>
        </w:tc>
        <w:tc>
          <w:tcPr>
            <w:tcW w:w="1437" w:type="dxa"/>
          </w:tcPr>
          <w:p w14:paraId="4B333605" w14:textId="7853C381" w:rsidR="00D43E4A" w:rsidRPr="00D43E4A" w:rsidRDefault="00D43E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Spontaneous</w:t>
            </w:r>
          </w:p>
        </w:tc>
        <w:tc>
          <w:tcPr>
            <w:tcW w:w="1414" w:type="dxa"/>
          </w:tcPr>
          <w:p w14:paraId="06AC2860" w14:textId="43D5EAD2" w:rsidR="00D43E4A" w:rsidRPr="00D43E4A" w:rsidRDefault="00D43E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Complete</w:t>
            </w:r>
          </w:p>
        </w:tc>
        <w:tc>
          <w:tcPr>
            <w:tcW w:w="1413" w:type="dxa"/>
          </w:tcPr>
          <w:p w14:paraId="15959417" w14:textId="3008FADF" w:rsidR="00D43E4A" w:rsidRPr="00D43E4A" w:rsidRDefault="00D43E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Regular</w:t>
            </w:r>
          </w:p>
        </w:tc>
        <w:tc>
          <w:tcPr>
            <w:tcW w:w="1412" w:type="dxa"/>
          </w:tcPr>
          <w:p w14:paraId="265EE616" w14:textId="7EECE0C8" w:rsidR="00D43E4A" w:rsidRPr="00D43E4A" w:rsidRDefault="00D43E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Regular</w:t>
            </w:r>
          </w:p>
        </w:tc>
      </w:tr>
      <w:tr w:rsidR="00D43E4A" w14:paraId="78F2895B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3" w:type="dxa"/>
          </w:tcPr>
          <w:p w14:paraId="1E26B795" w14:textId="1D3D7563" w:rsidR="00D43E4A" w:rsidRPr="00D43E4A" w:rsidRDefault="00D43E4A">
            <w:pPr>
              <w:rPr>
                <w:rFonts w:cs="Arial"/>
              </w:rPr>
            </w:pPr>
            <w:r w:rsidRPr="00D43E4A">
              <w:rPr>
                <w:rFonts w:cs="Arial"/>
              </w:rPr>
              <w:t>1</w:t>
            </w:r>
          </w:p>
        </w:tc>
        <w:tc>
          <w:tcPr>
            <w:tcW w:w="1561" w:type="dxa"/>
          </w:tcPr>
          <w:p w14:paraId="4E5D8A9F" w14:textId="0A1B5C4E" w:rsidR="00D43E4A" w:rsidRPr="00D43E4A" w:rsidRDefault="00D43E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Pooling in pharynx</w:t>
            </w:r>
          </w:p>
        </w:tc>
        <w:tc>
          <w:tcPr>
            <w:tcW w:w="1437" w:type="dxa"/>
          </w:tcPr>
          <w:p w14:paraId="759BD824" w14:textId="7EF7D195" w:rsidR="00D43E4A" w:rsidRPr="00D43E4A" w:rsidRDefault="00D43E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After stimulation</w:t>
            </w:r>
          </w:p>
        </w:tc>
        <w:tc>
          <w:tcPr>
            <w:tcW w:w="1414" w:type="dxa"/>
          </w:tcPr>
          <w:p w14:paraId="76BFC9DF" w14:textId="0AA7C6FB" w:rsidR="00D43E4A" w:rsidRPr="00D43E4A" w:rsidRDefault="00D43E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Incomplete</w:t>
            </w:r>
          </w:p>
        </w:tc>
        <w:tc>
          <w:tcPr>
            <w:tcW w:w="1413" w:type="dxa"/>
          </w:tcPr>
          <w:p w14:paraId="36B06653" w14:textId="6CEA5907" w:rsidR="00D43E4A" w:rsidRPr="00D43E4A" w:rsidRDefault="00D43E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Limited</w:t>
            </w:r>
          </w:p>
        </w:tc>
        <w:tc>
          <w:tcPr>
            <w:tcW w:w="1412" w:type="dxa"/>
          </w:tcPr>
          <w:p w14:paraId="285250CD" w14:textId="576CA56C" w:rsidR="00D43E4A" w:rsidRPr="00D43E4A" w:rsidRDefault="00D43E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Limited</w:t>
            </w:r>
          </w:p>
        </w:tc>
      </w:tr>
      <w:tr w:rsidR="00D43E4A" w14:paraId="3136EB60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3" w:type="dxa"/>
          </w:tcPr>
          <w:p w14:paraId="0B8C73CE" w14:textId="59CD2184" w:rsidR="00D43E4A" w:rsidRPr="00D43E4A" w:rsidRDefault="00D43E4A">
            <w:pPr>
              <w:rPr>
                <w:rFonts w:cs="Arial"/>
              </w:rPr>
            </w:pPr>
            <w:r w:rsidRPr="00D43E4A">
              <w:rPr>
                <w:rFonts w:cs="Arial"/>
              </w:rPr>
              <w:t>2</w:t>
            </w:r>
          </w:p>
        </w:tc>
        <w:tc>
          <w:tcPr>
            <w:tcW w:w="1561" w:type="dxa"/>
          </w:tcPr>
          <w:p w14:paraId="2643502C" w14:textId="04E52E36" w:rsidR="00D43E4A" w:rsidRPr="00D43E4A" w:rsidRDefault="00D43E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Pooling in mouth</w:t>
            </w:r>
          </w:p>
        </w:tc>
        <w:tc>
          <w:tcPr>
            <w:tcW w:w="1437" w:type="dxa"/>
          </w:tcPr>
          <w:p w14:paraId="7F677382" w14:textId="4C445FBC" w:rsidR="00D43E4A" w:rsidRPr="00D43E4A" w:rsidRDefault="00D43E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None</w:t>
            </w:r>
          </w:p>
        </w:tc>
        <w:tc>
          <w:tcPr>
            <w:tcW w:w="1414" w:type="dxa"/>
          </w:tcPr>
          <w:p w14:paraId="3EC74607" w14:textId="7658CBE8" w:rsidR="00D43E4A" w:rsidRPr="00D43E4A" w:rsidRDefault="00D43E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Atone</w:t>
            </w:r>
          </w:p>
        </w:tc>
        <w:tc>
          <w:tcPr>
            <w:tcW w:w="1413" w:type="dxa"/>
          </w:tcPr>
          <w:p w14:paraId="7DD6417F" w14:textId="0D265F0D" w:rsidR="00D43E4A" w:rsidRPr="00D43E4A" w:rsidRDefault="00D43E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Atone</w:t>
            </w:r>
          </w:p>
        </w:tc>
        <w:tc>
          <w:tcPr>
            <w:tcW w:w="1412" w:type="dxa"/>
          </w:tcPr>
          <w:p w14:paraId="1F9BA5DE" w14:textId="1F2FD569" w:rsidR="00D43E4A" w:rsidRPr="00D43E4A" w:rsidRDefault="00D43E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Atone</w:t>
            </w:r>
          </w:p>
        </w:tc>
      </w:tr>
      <w:tr w:rsidR="00D43E4A" w14:paraId="6D6CD94D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3" w:type="dxa"/>
          </w:tcPr>
          <w:p w14:paraId="1E56F412" w14:textId="03D94661" w:rsidR="00D43E4A" w:rsidRPr="00D43E4A" w:rsidRDefault="00D43E4A">
            <w:pPr>
              <w:rPr>
                <w:rFonts w:cs="Arial"/>
              </w:rPr>
            </w:pPr>
            <w:r w:rsidRPr="00D43E4A">
              <w:rPr>
                <w:rFonts w:cs="Arial"/>
              </w:rPr>
              <w:t>3</w:t>
            </w:r>
          </w:p>
        </w:tc>
        <w:tc>
          <w:tcPr>
            <w:tcW w:w="1561" w:type="dxa"/>
          </w:tcPr>
          <w:p w14:paraId="08DE0719" w14:textId="6BB408F4" w:rsidR="00D43E4A" w:rsidRPr="00D43E4A" w:rsidRDefault="00D43E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Anterior leakage</w:t>
            </w:r>
          </w:p>
        </w:tc>
        <w:tc>
          <w:tcPr>
            <w:tcW w:w="1437" w:type="dxa"/>
          </w:tcPr>
          <w:p w14:paraId="48C2F22B" w14:textId="49233950" w:rsidR="00D43E4A" w:rsidRPr="00D43E4A" w:rsidRDefault="00D43E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…</w:t>
            </w:r>
          </w:p>
        </w:tc>
        <w:tc>
          <w:tcPr>
            <w:tcW w:w="1414" w:type="dxa"/>
          </w:tcPr>
          <w:p w14:paraId="79D13C46" w14:textId="6C32F543" w:rsidR="00D43E4A" w:rsidRPr="00D43E4A" w:rsidRDefault="00D43E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…</w:t>
            </w:r>
          </w:p>
        </w:tc>
        <w:tc>
          <w:tcPr>
            <w:tcW w:w="1413" w:type="dxa"/>
          </w:tcPr>
          <w:p w14:paraId="6B0255C5" w14:textId="4983719B" w:rsidR="00D43E4A" w:rsidRPr="00D43E4A" w:rsidRDefault="00D43E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…</w:t>
            </w:r>
          </w:p>
        </w:tc>
        <w:tc>
          <w:tcPr>
            <w:tcW w:w="1412" w:type="dxa"/>
          </w:tcPr>
          <w:p w14:paraId="53A148A6" w14:textId="7191E28A" w:rsidR="00D43E4A" w:rsidRPr="00D43E4A" w:rsidRDefault="00D43E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D43E4A">
              <w:rPr>
                <w:rFonts w:cs="Arial"/>
              </w:rPr>
              <w:t>…</w:t>
            </w:r>
          </w:p>
        </w:tc>
      </w:tr>
    </w:tbl>
    <w:p w14:paraId="40FF4CCE" w14:textId="77777777" w:rsidR="00D43E4A" w:rsidRDefault="00D43E4A">
      <w:pPr>
        <w:rPr>
          <w:rFonts w:cs="Arial"/>
          <w:b/>
          <w:bCs/>
        </w:rPr>
      </w:pPr>
    </w:p>
    <w:p w14:paraId="11CCF016" w14:textId="25F22466" w:rsidR="0063123C" w:rsidRDefault="0063123C">
      <w:pPr>
        <w:rPr>
          <w:rFonts w:cs="Arial"/>
          <w:b/>
          <w:bCs/>
        </w:rPr>
      </w:pPr>
      <w:r w:rsidRPr="00A21AE1">
        <w:rPr>
          <w:rFonts w:cs="Arial"/>
          <w:b/>
          <w:bCs/>
        </w:rPr>
        <w:t>Determine Extubation Failure in Severe Stroke</w:t>
      </w:r>
      <w:r w:rsidR="00D43E4A">
        <w:rPr>
          <w:rFonts w:cs="Arial"/>
          <w:b/>
          <w:bCs/>
        </w:rPr>
        <w:t xml:space="preserve"> </w:t>
      </w:r>
      <w:r w:rsidR="00D43E4A" w:rsidRPr="00D43E4A">
        <w:rPr>
          <w:rFonts w:cs="Arial"/>
        </w:rPr>
        <w:t>(</w:t>
      </w:r>
      <w:r w:rsidR="00C010FD">
        <w:rPr>
          <w:rFonts w:cs="Arial"/>
        </w:rPr>
        <w:t xml:space="preserve">adapted </w:t>
      </w:r>
      <w:r w:rsidR="00D43E4A" w:rsidRPr="00D43E4A">
        <w:rPr>
          <w:rFonts w:cs="Arial"/>
        </w:rPr>
        <w:t>from Suntrup-Krueger et al. 2019</w:t>
      </w:r>
      <w:r w:rsidR="00D43E4A" w:rsidRPr="00D43E4A">
        <w:rPr>
          <w:rFonts w:cs="Arial"/>
          <w:vertAlign w:val="superscript"/>
        </w:rPr>
        <w:t>15</w:t>
      </w:r>
      <w:r w:rsidR="00D43E4A" w:rsidRPr="00D43E4A">
        <w:rPr>
          <w:rFonts w:cs="Arial"/>
        </w:rPr>
        <w:t>)</w:t>
      </w:r>
    </w:p>
    <w:tbl>
      <w:tblPr>
        <w:tblStyle w:val="Gitternetztabelle4"/>
        <w:tblW w:w="0" w:type="auto"/>
        <w:tblLook w:val="04A0" w:firstRow="1" w:lastRow="0" w:firstColumn="1" w:lastColumn="0" w:noHBand="0" w:noVBand="1"/>
      </w:tblPr>
      <w:tblGrid>
        <w:gridCol w:w="5382"/>
        <w:gridCol w:w="1417"/>
      </w:tblGrid>
      <w:tr w:rsidR="00A21AE1" w14:paraId="6E8A7CBB" w14:textId="77777777" w:rsidTr="00D43E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0D85CA3" w14:textId="2B8A5588" w:rsidR="00A21AE1" w:rsidRDefault="00A21AE1">
            <w:pPr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Item</w:t>
            </w:r>
          </w:p>
        </w:tc>
        <w:tc>
          <w:tcPr>
            <w:tcW w:w="1417" w:type="dxa"/>
          </w:tcPr>
          <w:p w14:paraId="6766D1C6" w14:textId="5FF1F85E" w:rsidR="00A21AE1" w:rsidRDefault="00A21AE1" w:rsidP="00D43E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Points</w:t>
            </w:r>
          </w:p>
        </w:tc>
      </w:tr>
      <w:tr w:rsidR="00A21AE1" w14:paraId="3392EC4A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C480F93" w14:textId="7E93D39C" w:rsidR="00A21AE1" w:rsidRDefault="00A21AE1">
            <w:pPr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Duration of ventilation (h)</w:t>
            </w:r>
          </w:p>
          <w:p w14:paraId="4EBC56B6" w14:textId="77777777" w:rsidR="00A21AE1" w:rsidRPr="00D43E4A" w:rsidRDefault="00A21AE1">
            <w:pPr>
              <w:rPr>
                <w:rFonts w:cs="Arial"/>
              </w:rPr>
            </w:pPr>
            <w:r w:rsidRPr="00D43E4A">
              <w:rPr>
                <w:rFonts w:cs="Arial"/>
              </w:rPr>
              <w:t>&lt; 24</w:t>
            </w:r>
          </w:p>
          <w:p w14:paraId="51E0100A" w14:textId="22B5B067" w:rsidR="00A21AE1" w:rsidRDefault="00A21AE1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</w:rPr>
              <w:t>≥ 24</w:t>
            </w:r>
          </w:p>
        </w:tc>
        <w:tc>
          <w:tcPr>
            <w:tcW w:w="1417" w:type="dxa"/>
          </w:tcPr>
          <w:p w14:paraId="2892F2B8" w14:textId="77777777" w:rsidR="00A21AE1" w:rsidRDefault="00A21A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63784BD8" w14:textId="77777777" w:rsidR="00D43E4A" w:rsidRDefault="00D43E4A" w:rsidP="00D43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</w:t>
            </w:r>
          </w:p>
          <w:p w14:paraId="1BD41E16" w14:textId="190283C0" w:rsidR="00D43E4A" w:rsidRDefault="00D43E4A" w:rsidP="00D43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</w:p>
        </w:tc>
      </w:tr>
      <w:tr w:rsidR="00A21AE1" w14:paraId="0959F966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07CD12DC" w14:textId="77777777" w:rsidR="00A21AE1" w:rsidRDefault="00A21AE1">
            <w:pPr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Examination of oral motor function (OMF, pts)</w:t>
            </w:r>
          </w:p>
          <w:p w14:paraId="0BB5F439" w14:textId="77777777" w:rsidR="00A21AE1" w:rsidRPr="00D43E4A" w:rsidRDefault="00A21AE1">
            <w:pPr>
              <w:rPr>
                <w:rFonts w:cs="Arial"/>
              </w:rPr>
            </w:pPr>
            <w:r w:rsidRPr="00D43E4A">
              <w:rPr>
                <w:rFonts w:cs="Arial"/>
              </w:rPr>
              <w:t>&lt; 4</w:t>
            </w:r>
          </w:p>
          <w:p w14:paraId="267F9280" w14:textId="69FF88C4" w:rsidR="00A21AE1" w:rsidRDefault="00A21AE1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</w:rPr>
              <w:t>≥ 4</w:t>
            </w:r>
          </w:p>
        </w:tc>
        <w:tc>
          <w:tcPr>
            <w:tcW w:w="1417" w:type="dxa"/>
          </w:tcPr>
          <w:p w14:paraId="0905C33E" w14:textId="77777777" w:rsidR="00A21AE1" w:rsidRDefault="00A21AE1" w:rsidP="00D43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36FBC531" w14:textId="77777777" w:rsidR="00D43E4A" w:rsidRDefault="00D43E4A" w:rsidP="00D43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</w:t>
            </w:r>
          </w:p>
          <w:p w14:paraId="0723F426" w14:textId="1960B613" w:rsidR="00D43E4A" w:rsidRDefault="00D43E4A" w:rsidP="00D43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</w:tr>
      <w:tr w:rsidR="00A21AE1" w14:paraId="27553F06" w14:textId="77777777" w:rsidTr="00D43E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6FB90E10" w14:textId="77777777" w:rsidR="00A21AE1" w:rsidRDefault="00A21AE1">
            <w:pPr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Infratentorial lesion</w:t>
            </w:r>
          </w:p>
          <w:p w14:paraId="61616DAB" w14:textId="64E54FDB" w:rsidR="00A21AE1" w:rsidRPr="00D43E4A" w:rsidRDefault="00A21AE1">
            <w:pPr>
              <w:rPr>
                <w:rFonts w:cs="Arial"/>
              </w:rPr>
            </w:pPr>
            <w:r w:rsidRPr="00D43E4A">
              <w:rPr>
                <w:rFonts w:cs="Arial"/>
              </w:rPr>
              <w:t>No</w:t>
            </w:r>
          </w:p>
          <w:p w14:paraId="5BC17C3E" w14:textId="268F45A8" w:rsidR="00A21AE1" w:rsidRDefault="00A21AE1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</w:rPr>
              <w:t>Yes</w:t>
            </w:r>
          </w:p>
        </w:tc>
        <w:tc>
          <w:tcPr>
            <w:tcW w:w="1417" w:type="dxa"/>
          </w:tcPr>
          <w:p w14:paraId="5ECCFAC4" w14:textId="77777777" w:rsidR="00A21AE1" w:rsidRDefault="00A21AE1" w:rsidP="00D43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5C2F884D" w14:textId="77777777" w:rsidR="00D43E4A" w:rsidRDefault="00D43E4A" w:rsidP="00D43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</w:t>
            </w:r>
          </w:p>
          <w:p w14:paraId="28C84D96" w14:textId="268CEC1C" w:rsidR="00D43E4A" w:rsidRDefault="00D43E4A" w:rsidP="00D43E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</w:tr>
      <w:tr w:rsidR="00A21AE1" w14:paraId="02614F89" w14:textId="77777777" w:rsidTr="00D43E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</w:tcPr>
          <w:p w14:paraId="2023451A" w14:textId="71100453" w:rsidR="00A21AE1" w:rsidRDefault="00A21AE1">
            <w:pPr>
              <w:rPr>
                <w:rFonts w:cs="Arial"/>
                <w:b w:val="0"/>
                <w:bCs w:val="0"/>
              </w:rPr>
            </w:pPr>
            <w:r>
              <w:rPr>
                <w:rFonts w:cs="Arial"/>
                <w:b w:val="0"/>
                <w:bCs w:val="0"/>
              </w:rPr>
              <w:t>Stroke Severity prior to extubation</w:t>
            </w:r>
            <w:r w:rsidR="00D43E4A">
              <w:rPr>
                <w:rFonts w:cs="Arial"/>
                <w:b w:val="0"/>
                <w:bCs w:val="0"/>
              </w:rPr>
              <w:t xml:space="preserve"> (NIHSS, pts)</w:t>
            </w:r>
          </w:p>
          <w:p w14:paraId="4C9C5E88" w14:textId="77777777" w:rsidR="00A21AE1" w:rsidRPr="00D43E4A" w:rsidRDefault="00D43E4A">
            <w:pPr>
              <w:rPr>
                <w:rFonts w:cs="Arial"/>
              </w:rPr>
            </w:pPr>
            <w:r w:rsidRPr="00D43E4A">
              <w:rPr>
                <w:rFonts w:cs="Arial"/>
              </w:rPr>
              <w:t>&lt; 5</w:t>
            </w:r>
          </w:p>
          <w:p w14:paraId="6024E135" w14:textId="77777777" w:rsidR="00D43E4A" w:rsidRPr="00D43E4A" w:rsidRDefault="00D43E4A">
            <w:pPr>
              <w:rPr>
                <w:rFonts w:cs="Arial"/>
              </w:rPr>
            </w:pPr>
            <w:r w:rsidRPr="00D43E4A">
              <w:rPr>
                <w:rFonts w:cs="Arial"/>
              </w:rPr>
              <w:t>5 – 15</w:t>
            </w:r>
          </w:p>
          <w:p w14:paraId="0C5F8041" w14:textId="4BB1B72E" w:rsidR="00D43E4A" w:rsidRDefault="00D43E4A">
            <w:pPr>
              <w:rPr>
                <w:rFonts w:cs="Arial"/>
                <w:b w:val="0"/>
                <w:bCs w:val="0"/>
              </w:rPr>
            </w:pPr>
            <w:r w:rsidRPr="00D43E4A">
              <w:rPr>
                <w:rFonts w:cs="Arial"/>
              </w:rPr>
              <w:t>&gt; 15</w:t>
            </w:r>
          </w:p>
        </w:tc>
        <w:tc>
          <w:tcPr>
            <w:tcW w:w="1417" w:type="dxa"/>
          </w:tcPr>
          <w:p w14:paraId="55956A10" w14:textId="77777777" w:rsidR="00A21AE1" w:rsidRDefault="00A21AE1" w:rsidP="00D43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</w:p>
          <w:p w14:paraId="2EEC093F" w14:textId="77777777" w:rsidR="00D43E4A" w:rsidRDefault="00D43E4A" w:rsidP="00D43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</w:t>
            </w:r>
          </w:p>
          <w:p w14:paraId="0845551B" w14:textId="77777777" w:rsidR="00D43E4A" w:rsidRDefault="00D43E4A" w:rsidP="00D43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</w:t>
            </w:r>
          </w:p>
          <w:p w14:paraId="46C8047F" w14:textId="66DE9A23" w:rsidR="00D43E4A" w:rsidRDefault="00D43E4A" w:rsidP="00D43E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</w:t>
            </w:r>
          </w:p>
        </w:tc>
      </w:tr>
    </w:tbl>
    <w:p w14:paraId="4624298C" w14:textId="77777777" w:rsidR="00A21AE1" w:rsidRDefault="00A21AE1">
      <w:pPr>
        <w:rPr>
          <w:rFonts w:cs="Arial"/>
          <w:b/>
          <w:bCs/>
        </w:rPr>
      </w:pPr>
    </w:p>
    <w:p w14:paraId="56DAE1FA" w14:textId="77777777" w:rsidR="00A21AE1" w:rsidRPr="00A21AE1" w:rsidRDefault="00A21AE1">
      <w:pPr>
        <w:rPr>
          <w:rFonts w:cs="Arial"/>
          <w:b/>
          <w:bCs/>
        </w:rPr>
      </w:pPr>
    </w:p>
    <w:p w14:paraId="257C704E" w14:textId="5A7A6812" w:rsidR="0063123C" w:rsidRDefault="0063123C"/>
    <w:sectPr w:rsidR="006312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8876D58"/>
    <w:multiLevelType w:val="multilevel"/>
    <w:tmpl w:val="1E040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9950688">
    <w:abstractNumId w:val="8"/>
  </w:num>
  <w:num w:numId="2" w16cid:durableId="1157114065">
    <w:abstractNumId w:val="6"/>
  </w:num>
  <w:num w:numId="3" w16cid:durableId="75251666">
    <w:abstractNumId w:val="5"/>
  </w:num>
  <w:num w:numId="4" w16cid:durableId="2090955954">
    <w:abstractNumId w:val="4"/>
  </w:num>
  <w:num w:numId="5" w16cid:durableId="1261373407">
    <w:abstractNumId w:val="7"/>
  </w:num>
  <w:num w:numId="6" w16cid:durableId="21176868">
    <w:abstractNumId w:val="3"/>
  </w:num>
  <w:num w:numId="7" w16cid:durableId="407767750">
    <w:abstractNumId w:val="2"/>
  </w:num>
  <w:num w:numId="8" w16cid:durableId="1358120926">
    <w:abstractNumId w:val="1"/>
  </w:num>
  <w:num w:numId="9" w16cid:durableId="1119452482">
    <w:abstractNumId w:val="0"/>
  </w:num>
  <w:num w:numId="10" w16cid:durableId="18604655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238"/>
    <w:rsid w:val="0015074B"/>
    <w:rsid w:val="0029639D"/>
    <w:rsid w:val="00326F90"/>
    <w:rsid w:val="003E0BC6"/>
    <w:rsid w:val="00400596"/>
    <w:rsid w:val="0052517A"/>
    <w:rsid w:val="005B1494"/>
    <w:rsid w:val="005E1611"/>
    <w:rsid w:val="0063123C"/>
    <w:rsid w:val="006E1052"/>
    <w:rsid w:val="006F020F"/>
    <w:rsid w:val="00726B99"/>
    <w:rsid w:val="007D2476"/>
    <w:rsid w:val="00905255"/>
    <w:rsid w:val="009534FB"/>
    <w:rsid w:val="00A10F81"/>
    <w:rsid w:val="00A21AE1"/>
    <w:rsid w:val="00AA1D8D"/>
    <w:rsid w:val="00B47730"/>
    <w:rsid w:val="00B934A5"/>
    <w:rsid w:val="00C010FD"/>
    <w:rsid w:val="00CB0664"/>
    <w:rsid w:val="00D43E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B38A3F"/>
  <w14:defaultImageDpi w14:val="300"/>
  <w15:docId w15:val="{AE9318C8-92A4-AE4D-B643-67D34B5E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A10F8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10F8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10F8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0F8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0F81"/>
    <w:rPr>
      <w:rFonts w:ascii="Arial" w:hAnsi="Arial"/>
      <w:b/>
      <w:bCs/>
      <w:sz w:val="20"/>
      <w:szCs w:val="20"/>
    </w:rPr>
  </w:style>
  <w:style w:type="paragraph" w:customStyle="1" w:styleId="p1">
    <w:name w:val="p1"/>
    <w:basedOn w:val="Standard"/>
    <w:rsid w:val="00102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s1">
    <w:name w:val="s1"/>
    <w:basedOn w:val="Absatz-Standardschriftart"/>
    <w:rsid w:val="00102238"/>
  </w:style>
  <w:style w:type="table" w:styleId="Gitternetztabelle4">
    <w:name w:val="Grid Table 4"/>
    <w:basedOn w:val="NormaleTabelle"/>
    <w:uiPriority w:val="49"/>
    <w:rsid w:val="00D43E4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569</Words>
  <Characters>3585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 Muhle</cp:lastModifiedBy>
  <cp:revision>5</cp:revision>
  <dcterms:created xsi:type="dcterms:W3CDTF">2025-10-14T12:16:00Z</dcterms:created>
  <dcterms:modified xsi:type="dcterms:W3CDTF">2025-10-29T11:14:00Z</dcterms:modified>
  <cp:category/>
</cp:coreProperties>
</file>