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424" w:rsidRDefault="00FE3F6A">
      <w:pPr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Material</w:t>
      </w: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Title:</w:t>
      </w:r>
      <w:r>
        <w:rPr>
          <w:rFonts w:ascii="Times New Roman" w:hAnsi="Times New Roman" w:cs="Times New Roman"/>
          <w:sz w:val="24"/>
        </w:rPr>
        <w:t xml:space="preserve"> Machine Learning-Based Analysis of Risk Factors and Construction of a Predictive Model for Hyperuricemia in C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>hinese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Health Examination Population</w:t>
      </w: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Journal:</w:t>
      </w:r>
      <w:r>
        <w:rPr>
          <w:rFonts w:ascii="Times New Roman" w:hAnsi="Times New Roman" w:cs="Times New Roman" w:hint="eastAsia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Scientific Reports</w:t>
      </w: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List of Supplementary Items</w:t>
      </w:r>
      <w:r>
        <w:rPr>
          <w:rFonts w:ascii="Times New Roman" w:hAnsi="Times New Roman" w:cs="Times New Roman"/>
          <w:sz w:val="24"/>
        </w:rPr>
        <w:t>:</w:t>
      </w:r>
    </w:p>
    <w:p w:rsidR="00305424" w:rsidRDefault="00FE3F6A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ig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 xml:space="preserve">s. 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.</w:t>
      </w:r>
    </w:p>
    <w:p w:rsidR="00305424" w:rsidRDefault="00FE3F6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noProof/>
          <w:color w:val="000000" w:themeColor="text1"/>
          <w:sz w:val="24"/>
          <w:lang w:val="en-IN" w:eastAsia="en-IN"/>
        </w:rPr>
        <w:drawing>
          <wp:inline distT="0" distB="0" distL="114300" distR="114300">
            <wp:extent cx="3470910" cy="2529840"/>
            <wp:effectExtent l="0" t="0" r="8890" b="10160"/>
            <wp:docPr id="1" name="图片 1" descr="fa327d84ee0011d43bff2a6152077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327d84ee0011d43bff2a61520778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70910" cy="252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424" w:rsidRDefault="00FE3F6A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Based on </w:t>
      </w:r>
      <w:r>
        <w:rPr>
          <w:rFonts w:ascii="Times New Roman" w:hAnsi="Times New Roman" w:cs="Times New Roman"/>
          <w:color w:val="000000" w:themeColor="text1"/>
          <w:sz w:val="24"/>
        </w:rPr>
        <w:t>the inclusion and exclusion criteria for the participants, the final analysis sample was formed</w:t>
      </w:r>
    </w:p>
    <w:p w:rsidR="00305424" w:rsidRDefault="00305424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:rsidR="00305424" w:rsidRDefault="00FE3F6A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ig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s. 2.</w:t>
      </w:r>
    </w:p>
    <w:p w:rsidR="00305424" w:rsidRDefault="00FE3F6A">
      <w:pPr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object w:dxaOrig="8297" w:dyaOrig="367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183.75pt" o:ole="">
            <v:imagedata r:id="rId6" o:title=""/>
            <o:lock v:ext="edit" aspectratio="f"/>
          </v:shape>
          <o:OLEObject Type="Embed" ShapeID="_x0000_i1025" DrawAspect="Content" ObjectID="_1845538872" r:id="rId7"/>
        </w:object>
      </w:r>
    </w:p>
    <w:p w:rsidR="00305424" w:rsidRDefault="00FE3F6A">
      <w:pPr>
        <w:spacing w:line="480" w:lineRule="auto"/>
        <w:ind w:firstLineChars="100" w:firstLin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Legend of coefficient paths: candidate variables in LASSO regression</w:t>
      </w:r>
    </w:p>
    <w:p w:rsidR="00305424" w:rsidRDefault="00FE3F6A">
      <w:pPr>
        <w:spacing w:line="480" w:lineRule="auto"/>
        <w:ind w:firstLineChars="100" w:firstLine="241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F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ig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s. 3.</w:t>
      </w:r>
    </w:p>
    <w:p w:rsidR="00305424" w:rsidRDefault="00FE3F6A">
      <w:pPr>
        <w:spacing w:line="480" w:lineRule="auto"/>
        <w:ind w:firstLineChars="100" w:firstLine="241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object w:dxaOrig="8110" w:dyaOrig="6210">
          <v:shape id="_x0000_i1026" type="#_x0000_t75" style="width:405.75pt;height:310.5pt" o:ole="">
            <v:imagedata r:id="rId8" o:title=""/>
            <o:lock v:ext="edit" aspectratio="f"/>
          </v:shape>
          <o:OLEObject Type="Embed" ShapeID="_x0000_i1026" DrawAspect="Content" ObjectID="_1845538873" r:id="rId9"/>
        </w:object>
      </w:r>
      <w:r>
        <w:rPr>
          <w:rFonts w:ascii="Times New Roman" w:hAnsi="Times New Roman" w:cs="Times New Roman"/>
          <w:sz w:val="24"/>
        </w:rPr>
        <w:t xml:space="preserve">Cross-validation error curve for LASSO </w:t>
      </w:r>
      <w:r>
        <w:rPr>
          <w:rFonts w:ascii="Times New Roman" w:hAnsi="Times New Roman" w:cs="Times New Roman"/>
          <w:sz w:val="24"/>
        </w:rPr>
        <w:t>regression (10‑fold)</w:t>
      </w:r>
    </w:p>
    <w:p w:rsidR="00305424" w:rsidRDefault="00FE3F6A">
      <w:pPr>
        <w:spacing w:line="480" w:lineRule="auto"/>
        <w:ind w:firstLineChars="100" w:firstLine="24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S</w:t>
      </w:r>
      <w:r>
        <w:rPr>
          <w:rFonts w:ascii="Times New Roman" w:hAnsi="Times New Roman" w:cs="Times New Roman"/>
          <w:b/>
          <w:bCs/>
          <w:sz w:val="24"/>
        </w:rPr>
        <w:t>1</w:t>
      </w:r>
      <w:r>
        <w:rPr>
          <w:rFonts w:ascii="Times New Roman" w:hAnsi="Times New Roman" w:cs="Times New Roman"/>
          <w:sz w:val="24"/>
        </w:rPr>
        <w:t>. Univariate analysis of incidence and sociodemographic characteristics of HUA.</w:t>
      </w:r>
    </w:p>
    <w:p w:rsidR="00305424" w:rsidRDefault="00FE3F6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1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</w:rPr>
        <w:t>Univariate analysis of incidence and sociodemographic characteristics of HUA</w:t>
      </w:r>
    </w:p>
    <w:tbl>
      <w:tblPr>
        <w:tblpPr w:leftFromText="180" w:rightFromText="180" w:vertAnchor="text" w:horzAnchor="page" w:tblpX="1784" w:tblpY="608"/>
        <w:tblOverlap w:val="never"/>
        <w:tblW w:w="87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1"/>
        <w:gridCol w:w="2156"/>
        <w:gridCol w:w="966"/>
        <w:gridCol w:w="1738"/>
        <w:gridCol w:w="1438"/>
        <w:gridCol w:w="759"/>
        <w:gridCol w:w="732"/>
      </w:tblGrid>
      <w:tr w:rsidR="00305424">
        <w:trPr>
          <w:trHeight w:val="936"/>
        </w:trPr>
        <w:tc>
          <w:tcPr>
            <w:tcW w:w="981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Variable</w:t>
            </w:r>
          </w:p>
        </w:tc>
        <w:tc>
          <w:tcPr>
            <w:tcW w:w="215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Category</w:t>
            </w:r>
          </w:p>
        </w:tc>
        <w:tc>
          <w:tcPr>
            <w:tcW w:w="966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Total(n=4906)</w:t>
            </w:r>
          </w:p>
        </w:tc>
        <w:tc>
          <w:tcPr>
            <w:tcW w:w="17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Non-onset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group(n=2971)</w:t>
            </w:r>
          </w:p>
        </w:tc>
        <w:tc>
          <w:tcPr>
            <w:tcW w:w="1438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Onset group(n=1935)</w:t>
            </w:r>
          </w:p>
        </w:tc>
        <w:tc>
          <w:tcPr>
            <w:tcW w:w="759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χ²</w:t>
            </w:r>
          </w:p>
        </w:tc>
        <w:tc>
          <w:tcPr>
            <w:tcW w:w="732" w:type="dxa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P-value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Gender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2971(60.56)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1924(64.76)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1047(54.11)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335.23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Female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1935(38.44)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1707(35.24)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228(11.79)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1" w:name="OLE_LINK1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Age </w:t>
            </w:r>
            <w:bookmarkEnd w:id="1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(years)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≤18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18(0.37)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9(0.25)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9(0.71)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7.903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0.162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19-30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581(11.84)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421(11.59)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160(12.55)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31-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40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1233(25.13)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909(25.03)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324(25.41)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50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1329(27.09)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995(27.40)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334(26.20)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-60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1319(26.89)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972(26.77)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347(27.22)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≥6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4"/>
              </w:rPr>
              <w:t>1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426(8.68)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325(8.95)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101(7.92)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2" w:name="OLE_LINK2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Education</w:t>
            </w:r>
            <w:bookmarkEnd w:id="2"/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Junior high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or below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700(14.27)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553(15.23)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147(11.53)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13.020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0.011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Senior high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645(13.15)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485(13.36)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160(12.55)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Technical school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337(6.87)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247(6.80)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90(7.06)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Bachelor's degree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2610(53.20)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1908(52.55)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702(55.06)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Postgraduate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614(12.52)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438(12.06)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176(13.80)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Marital status</w:t>
            </w: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Unmarried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511(10.42)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373(10.27)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138(10.82)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0.307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0.580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Married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4395(89.58)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3258(89.73)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1137(89.18)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3" w:name="OLE_LINK3"/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lastRenderedPageBreak/>
              <w:t>Insurance type</w:t>
            </w:r>
            <w:bookmarkEnd w:id="3"/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Urban Employee Basic Medical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3016(61.48)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2220(61.14)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796(62.43)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2.436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0.656</w:t>
            </w: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Urban Resident Basic Medical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833(16.98)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611(16.83)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222(17.41)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New Rural Cooperative Medical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769(15.67)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585(16.11)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184(14.43)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Other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153(3.12)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116(3.19)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37(2.90)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98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215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None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135(2.75)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99(2.73)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FE3F6A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36(2.82)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:rsidR="00305424" w:rsidRDefault="00305424">
            <w:pPr>
              <w:rPr>
                <w:rFonts w:ascii="Times New Roman" w:hAnsi="Times New Roman" w:cs="Times New Roman"/>
                <w:color w:val="000000" w:themeColor="text1"/>
                <w:sz w:val="24"/>
              </w:rPr>
            </w:pPr>
          </w:p>
        </w:tc>
      </w:tr>
    </w:tbl>
    <w:p w:rsidR="00305424" w:rsidRDefault="00305424">
      <w:pPr>
        <w:rPr>
          <w:rFonts w:ascii="Times New Roman" w:hAnsi="Times New Roman" w:cs="Times New Roman"/>
          <w:color w:val="000000" w:themeColor="text1"/>
          <w:sz w:val="24"/>
        </w:rPr>
      </w:pPr>
    </w:p>
    <w:p w:rsidR="00305424" w:rsidRDefault="00FE3F6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Univariate analysis of the incidence of HUA and health-related behaviors</w:t>
      </w:r>
    </w:p>
    <w:tbl>
      <w:tblPr>
        <w:tblpPr w:leftFromText="180" w:rightFromText="180" w:vertAnchor="text" w:horzAnchor="page" w:tblpX="1782" w:tblpY="284"/>
        <w:tblOverlap w:val="never"/>
        <w:tblW w:w="5415" w:type="pct"/>
        <w:tblLayout w:type="fixed"/>
        <w:tblLook w:val="04A0" w:firstRow="1" w:lastRow="0" w:firstColumn="1" w:lastColumn="0" w:noHBand="0" w:noVBand="1"/>
      </w:tblPr>
      <w:tblGrid>
        <w:gridCol w:w="1489"/>
        <w:gridCol w:w="1470"/>
        <w:gridCol w:w="1046"/>
        <w:gridCol w:w="1689"/>
        <w:gridCol w:w="1447"/>
        <w:gridCol w:w="1189"/>
        <w:gridCol w:w="899"/>
      </w:tblGrid>
      <w:tr w:rsidR="00305424">
        <w:trPr>
          <w:trHeight w:val="936"/>
        </w:trPr>
        <w:tc>
          <w:tcPr>
            <w:tcW w:w="80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796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Category</w:t>
            </w:r>
          </w:p>
        </w:tc>
        <w:tc>
          <w:tcPr>
            <w:tcW w:w="56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Total (n=4906)</w:t>
            </w:r>
          </w:p>
        </w:tc>
        <w:tc>
          <w:tcPr>
            <w:tcW w:w="914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Non-onset group (n=2971)</w:t>
            </w:r>
          </w:p>
        </w:tc>
        <w:tc>
          <w:tcPr>
            <w:tcW w:w="78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Onset group (n=1935)</w:t>
            </w:r>
          </w:p>
        </w:tc>
        <w:tc>
          <w:tcPr>
            <w:tcW w:w="64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χ²/t-value</w:t>
            </w:r>
          </w:p>
        </w:tc>
        <w:tc>
          <w:tcPr>
            <w:tcW w:w="487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P-value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bookmarkStart w:id="4" w:name="OLE_LINK4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Smoking</w:t>
            </w:r>
            <w:bookmarkEnd w:id="4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status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Non-smoker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3633(74.05)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2770(76.29)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863(67.69)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36.332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Smoker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1273(25.95)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861(23.71)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412(32.31)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bookmarkStart w:id="5" w:name="OLE_LINK5"/>
            <w:bookmarkStart w:id="6" w:name="OLE_LINK12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Alcohol</w:t>
            </w:r>
            <w:bookmarkEnd w:id="5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consumption</w:t>
            </w:r>
            <w:bookmarkEnd w:id="6"/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Non-drinker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3255(66.35)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2575(70.92)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680(53.33)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130.674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Drinker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1651(33.65)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1056(29.08)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595(46.67)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Regular </w:t>
            </w:r>
            <w:bookmarkStart w:id="7" w:name="OLE_LINK6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exercise</w:t>
            </w:r>
            <w:bookmarkEnd w:id="7"/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1789(36.47)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1285(35.39)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504(39.53)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6.980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0.008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3117(63.53)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2346(64.61)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771(60.47)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lastRenderedPageBreak/>
              <w:t xml:space="preserve">Regular </w:t>
            </w:r>
            <w:bookmarkStart w:id="8" w:name="OLE_LINK7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meal</w:t>
            </w:r>
            <w:bookmarkEnd w:id="8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schedule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Regular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3276(66.78)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2470(68.03)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806(63.22)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10.322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0.006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Irregular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1286(26.21)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921(25.36)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365(28.63)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Skipping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344(7.01)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240(6.61)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104(8.16)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bookmarkStart w:id="9" w:name="OLE_LINK8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Late-night</w:t>
            </w:r>
            <w:bookmarkEnd w:id="9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snacking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None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3034(61.84)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2335(64.31)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699(54.82)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40.020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Occasional (≤3/week)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1679(34.22)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1174(32.33)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505(39.61)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Frequent (&gt;3/week)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193(3.93)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122(3.36)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71(5.57)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Binge </w:t>
            </w:r>
            <w:bookmarkStart w:id="10" w:name="OLE_LINK9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eating</w:t>
            </w:r>
            <w:bookmarkEnd w:id="10"/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Absent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4533(92.40)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3378(93.03)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1155(90.59)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8.024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0.005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Present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373(7.60)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253(6.97)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120(9.41)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Coffee consumption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Non-consumer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3425(69.81)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2579(71.03)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846(66.35)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18.929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Occasional (1-3/month)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1185(24.15)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824(22.69)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361(28.31)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Regular (1-6/week)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213(4.34)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159(4.38)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54(4.24)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Daily (≥1/day)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83(1.69)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69(1.90)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14(1.10)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bookmarkStart w:id="11" w:name="OLE_LINK10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SSB</w:t>
            </w:r>
            <w:bookmarkEnd w:id="11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</w:t>
            </w:r>
            <w:bookmarkStart w:id="12" w:name="OLE_LINK15"/>
            <w:r>
              <w:rPr>
                <w:rFonts w:ascii="Times New Roman" w:eastAsia="Times New Roman Regular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intake</w:t>
            </w:r>
            <w:bookmarkEnd w:id="12"/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Non-consumer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2492(50.79)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1914(52.71)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578(45.33)</w:t>
            </w:r>
          </w:p>
        </w:tc>
        <w:tc>
          <w:tcPr>
            <w:tcW w:w="643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31.945</w:t>
            </w:r>
          </w:p>
        </w:tc>
        <w:tc>
          <w:tcPr>
            <w:tcW w:w="487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0.000</w:t>
            </w: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Occasional (1-3/month)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2107(42.95)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1521(41.89)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586(45.96)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Regular (1-6/week)</w:t>
            </w:r>
          </w:p>
        </w:tc>
        <w:tc>
          <w:tcPr>
            <w:tcW w:w="5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283(5.77)</w:t>
            </w:r>
          </w:p>
        </w:tc>
        <w:tc>
          <w:tcPr>
            <w:tcW w:w="91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178(4.90)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105(8.24)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936"/>
        </w:trPr>
        <w:tc>
          <w:tcPr>
            <w:tcW w:w="80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796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Times New Roman Regular" w:hAnsi="Times New Roman" w:cs="Times New Roman"/>
                <w:color w:val="000000" w:themeColor="text1"/>
                <w:kern w:val="0"/>
                <w:sz w:val="24"/>
                <w:lang w:bidi="ar"/>
              </w:rPr>
              <w:t>Daily (≥1/day)</w:t>
            </w:r>
          </w:p>
        </w:tc>
        <w:tc>
          <w:tcPr>
            <w:tcW w:w="56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24(0.49)</w:t>
            </w:r>
          </w:p>
        </w:tc>
        <w:tc>
          <w:tcPr>
            <w:tcW w:w="91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18(0.50)</w:t>
            </w:r>
          </w:p>
        </w:tc>
        <w:tc>
          <w:tcPr>
            <w:tcW w:w="78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center"/>
              <w:textAlignment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  <w:t>6(0.47)</w:t>
            </w:r>
          </w:p>
        </w:tc>
        <w:tc>
          <w:tcPr>
            <w:tcW w:w="643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487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</w:tbl>
    <w:p w:rsidR="00305424" w:rsidRDefault="00FE3F6A">
      <w:pPr>
        <w:rPr>
          <w:rFonts w:ascii="Times New Roman" w:hAnsi="Times New Roman" w:cs="Times New Roman"/>
          <w:color w:val="000000" w:themeColor="text1"/>
          <w:sz w:val="24"/>
        </w:rPr>
      </w:pPr>
      <w:r>
        <w:rPr>
          <w:rStyle w:val="Emphasis"/>
          <w:rFonts w:ascii="Times New Roman" w:eastAsia="Segoe UI" w:hAnsi="Times New Roman" w:cs="Times New Roman"/>
          <w:color w:val="000000" w:themeColor="text1"/>
          <w:sz w:val="24"/>
        </w:rPr>
        <w:t>SSB=Sugar-sweetened bever</w:t>
      </w:r>
      <w:r>
        <w:rPr>
          <w:rStyle w:val="Emphasis"/>
          <w:rFonts w:ascii="Times New Roman" w:eastAsia="Segoe UI" w:hAnsi="Times New Roman" w:cs="Times New Roman"/>
          <w:color w:val="000000" w:themeColor="text1"/>
          <w:sz w:val="24"/>
        </w:rPr>
        <w:t>age; Frequency definitions adapted from NHANES dietary guidelines</w:t>
      </w:r>
    </w:p>
    <w:p w:rsidR="00305424" w:rsidRDefault="00305424">
      <w:pPr>
        <w:jc w:val="center"/>
        <w:rPr>
          <w:rFonts w:ascii="Times New Roman" w:hAnsi="Times New Roman" w:cs="Times New Roman"/>
          <w:b/>
          <w:bCs/>
          <w:color w:val="000000" w:themeColor="text1"/>
          <w:sz w:val="24"/>
        </w:rPr>
      </w:pP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Supplementary Table </w:t>
      </w:r>
      <w:r>
        <w:rPr>
          <w:rFonts w:ascii="Times New Roman" w:hAnsi="Times New Roman" w:cs="Times New Roman" w:hint="eastAsia"/>
          <w:sz w:val="24"/>
        </w:rPr>
        <w:t>S</w:t>
      </w:r>
      <w:r>
        <w:rPr>
          <w:rFonts w:ascii="Times New Roman" w:hAnsi="Times New Roman" w:cs="Times New Roman"/>
          <w:sz w:val="24"/>
        </w:rPr>
        <w:t>3. Univariate analysis of the incidence of HUA and physical examination status.</w:t>
      </w:r>
    </w:p>
    <w:p w:rsidR="00305424" w:rsidRDefault="00FE3F6A">
      <w:pPr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Univariate analysis of the incidence of HUA and physical examination status</w:t>
      </w:r>
    </w:p>
    <w:tbl>
      <w:tblPr>
        <w:tblpPr w:leftFromText="180" w:rightFromText="180" w:vertAnchor="text" w:horzAnchor="page" w:tblpX="1722" w:tblpY="546"/>
        <w:tblOverlap w:val="never"/>
        <w:tblW w:w="5204" w:type="pct"/>
        <w:tblLayout w:type="fixed"/>
        <w:tblLook w:val="04A0" w:firstRow="1" w:lastRow="0" w:firstColumn="1" w:lastColumn="0" w:noHBand="0" w:noVBand="1"/>
      </w:tblPr>
      <w:tblGrid>
        <w:gridCol w:w="1630"/>
        <w:gridCol w:w="1581"/>
        <w:gridCol w:w="1683"/>
        <w:gridCol w:w="1683"/>
        <w:gridCol w:w="1263"/>
        <w:gridCol w:w="1030"/>
      </w:tblGrid>
      <w:tr w:rsidR="00305424">
        <w:trPr>
          <w:trHeight w:val="336"/>
        </w:trPr>
        <w:tc>
          <w:tcPr>
            <w:tcW w:w="16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Variable</w:t>
            </w:r>
          </w:p>
        </w:tc>
        <w:tc>
          <w:tcPr>
            <w:tcW w:w="1581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Total (n=4906)</w:t>
            </w:r>
          </w:p>
        </w:tc>
        <w:tc>
          <w:tcPr>
            <w:tcW w:w="16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Non-onset group (n=2971)</w:t>
            </w:r>
          </w:p>
        </w:tc>
        <w:tc>
          <w:tcPr>
            <w:tcW w:w="168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Onset group (n=1935)</w:t>
            </w:r>
          </w:p>
        </w:tc>
        <w:tc>
          <w:tcPr>
            <w:tcW w:w="1263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Statistics</w:t>
            </w:r>
          </w:p>
        </w:tc>
        <w:tc>
          <w:tcPr>
            <w:tcW w:w="1030" w:type="dxa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color w:val="000000" w:themeColor="text1"/>
                <w:kern w:val="0"/>
                <w:sz w:val="24"/>
                <w:lang w:bidi="ar"/>
              </w:rPr>
              <w:t>P-value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BMI classification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317.266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Underweight (&lt;18.5 kg/m²)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134(2.73)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123(3.39)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11(0.86)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Normal (18.5-24.9 kg/m²)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2731(55.67)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2258(62.19)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473(37.10)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Overweight (25.0-29.9 kg/m²)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1715(34.96)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1079(29.72)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636(49.88)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Obese (≥30 kg/m²)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326(6.64)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171(4.71)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155(12.16)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Hypertension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21.905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No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4248(86.59)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3193(87.94)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1055(82.75)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Yes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658(13.41)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438(12.06)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220(17.25)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bookmarkStart w:id="13" w:name="OLE_LINK11"/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lastRenderedPageBreak/>
              <w:t>Family</w:t>
            </w:r>
            <w:bookmarkEnd w:id="13"/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 xml:space="preserve"> </w:t>
            </w:r>
            <w:bookmarkStart w:id="14" w:name="OLE_LINK14"/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history</w:t>
            </w:r>
            <w:bookmarkEnd w:id="14"/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1.642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0.200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Negative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1778(36.24)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1297(35.72)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481(37.73)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Positive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3128(63.76)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2334(64.28)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794(62.27)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  <w:r>
              <w:rPr>
                <w:rStyle w:val="Strong"/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Metabolic parameters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305424">
            <w:pPr>
              <w:rPr>
                <w:rFonts w:ascii="Times New Roman" w:eastAsia="SimSun" w:hAnsi="Times New Roman" w:cs="Times New Roman"/>
                <w:color w:val="000000" w:themeColor="text1"/>
                <w:kern w:val="0"/>
                <w:sz w:val="24"/>
                <w:lang w:bidi="ar"/>
              </w:rPr>
            </w:pP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SimSun" w:eastAsia="SimSun" w:hAnsi="SimSun" w:cs="SimSun"/>
                <w:b/>
                <w:bCs/>
                <w:sz w:val="24"/>
              </w:rPr>
              <w:t>UCR</w:t>
            </w: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μmol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/24h)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14535.67±8142.03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14048.79±8290.25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15922.26±7536.92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-7.436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Hb</w:t>
            </w:r>
            <w:proofErr w:type="spellEnd"/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146.32±16.24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143.96±16.48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153.05±13.43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-19.548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ALT (U/L)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27.46±21.79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24.78±19.19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35.11±26.43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-12.830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bookmarkStart w:id="15" w:name="OLE_LINK13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AST</w:t>
            </w:r>
            <w:bookmarkEnd w:id="15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(U/L)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24.78±11.28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23.92±11.01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27.23±11.67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-8.858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DBIL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μmol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3.92±1.90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3.90±1.64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3.98±2.49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-1.138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0.255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SimSun" w:eastAsia="SimSun" w:hAnsi="SimSun" w:cs="SimSun"/>
                <w:b/>
                <w:bCs/>
                <w:sz w:val="24"/>
              </w:rPr>
              <w:t>TP</w:t>
            </w: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(g/L)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73.70±4.37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73.28±4.30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74.90±4.37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-11.498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SimSun" w:eastAsia="SimSun" w:hAnsi="SimSun" w:cs="SimSun"/>
                <w:b/>
                <w:bCs/>
                <w:sz w:val="24"/>
              </w:rPr>
              <w:t>ALB</w:t>
            </w: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(g/L)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46.66±2.80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46.44±2.80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47.30±2.71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-9.503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BUN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4.89±1.25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4.82±1.23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5.09±1.29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-6.598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>
              <w:rPr>
                <w:rFonts w:ascii="SimSun" w:eastAsia="SimSun" w:hAnsi="SimSun" w:cs="SimSun"/>
                <w:b/>
                <w:bCs/>
                <w:sz w:val="24"/>
              </w:rPr>
              <w:t>Scr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μmol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72.27±16.39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69.23±15.03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80.92±17.01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-21.734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TCl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 xml:space="preserve">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5.04±1.00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4.98±0.96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5.21±1.08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-6.843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TG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1.96±2.17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1.68±1.75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2.78±2.90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-12.738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</w:t>
            </w: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HDL-C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1.29±0.29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1.33±0.29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1.17±0.24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19.061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&lt;0.001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LDL-C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2.88±0.83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2.88±0.81</w:t>
            </w:r>
          </w:p>
        </w:tc>
        <w:tc>
          <w:tcPr>
            <w:tcW w:w="168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2.87±0.86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0.483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0.629</w:t>
            </w:r>
          </w:p>
        </w:tc>
      </w:tr>
      <w:tr w:rsidR="00305424">
        <w:trPr>
          <w:trHeight w:val="336"/>
        </w:trPr>
        <w:tc>
          <w:tcPr>
            <w:tcW w:w="16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GLU (</w:t>
            </w:r>
            <w:proofErr w:type="spellStart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mmol</w:t>
            </w:r>
            <w:proofErr w:type="spellEnd"/>
            <w:r>
              <w:rPr>
                <w:rFonts w:ascii="Times New Roman" w:eastAsia="Segoe UI" w:hAnsi="Times New Roman" w:cs="Times New Roman"/>
                <w:b/>
                <w:bCs/>
                <w:color w:val="000000" w:themeColor="text1"/>
                <w:kern w:val="0"/>
                <w:sz w:val="24"/>
                <w:lang w:bidi="ar"/>
              </w:rPr>
              <w:t>/L)</w:t>
            </w:r>
          </w:p>
        </w:tc>
        <w:tc>
          <w:tcPr>
            <w:tcW w:w="158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5.54±1.31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5.51±1.36</w:t>
            </w:r>
          </w:p>
        </w:tc>
        <w:tc>
          <w:tcPr>
            <w:tcW w:w="168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5.62±1.15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-2.538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:rsidR="00305424" w:rsidRDefault="00FE3F6A">
            <w:pPr>
              <w:widowControl/>
              <w:jc w:val="left"/>
              <w:rPr>
                <w:rFonts w:ascii="Times New Roman" w:eastAsia="SimSu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eastAsia="Segoe UI" w:hAnsi="Times New Roman" w:cs="Times New Roman"/>
                <w:color w:val="000000" w:themeColor="text1"/>
                <w:kern w:val="0"/>
                <w:sz w:val="24"/>
                <w:lang w:bidi="ar"/>
              </w:rPr>
              <w:t>0.011</w:t>
            </w:r>
          </w:p>
        </w:tc>
      </w:tr>
    </w:tbl>
    <w:p w:rsidR="00305424" w:rsidRDefault="00305424">
      <w:pPr>
        <w:rPr>
          <w:rFonts w:ascii="Times New Roman" w:hAnsi="Times New Roman" w:cs="Times New Roman"/>
          <w:color w:val="000000" w:themeColor="text1"/>
          <w:sz w:val="24"/>
        </w:rPr>
      </w:pP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Note:</w:t>
      </w:r>
    </w:p>
    <w:p w:rsidR="00305424" w:rsidRDefault="00FE3F6A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BMI, body mass index; UCR, urinary creatinine; </w:t>
      </w:r>
      <w:proofErr w:type="spellStart"/>
      <w:r>
        <w:rPr>
          <w:rFonts w:ascii="Times New Roman" w:hAnsi="Times New Roman" w:cs="Times New Roman"/>
          <w:sz w:val="24"/>
        </w:rPr>
        <w:t>Hb</w:t>
      </w:r>
      <w:proofErr w:type="spellEnd"/>
      <w:r>
        <w:rPr>
          <w:rFonts w:ascii="Times New Roman" w:hAnsi="Times New Roman" w:cs="Times New Roman"/>
          <w:sz w:val="24"/>
        </w:rPr>
        <w:t xml:space="preserve">, hemoglobin; ALT, alanine </w:t>
      </w:r>
      <w:r>
        <w:rPr>
          <w:rFonts w:ascii="Times New Roman" w:hAnsi="Times New Roman" w:cs="Times New Roman"/>
          <w:sz w:val="24"/>
        </w:rPr>
        <w:lastRenderedPageBreak/>
        <w:t xml:space="preserve">aminotransferase; AST, aspartate aminotransferase; </w:t>
      </w:r>
      <w:r>
        <w:rPr>
          <w:rFonts w:ascii="Times New Roman" w:hAnsi="Times New Roman" w:cs="Times New Roman"/>
          <w:sz w:val="24"/>
        </w:rPr>
        <w:t xml:space="preserve">DBIL, direct bilirubin; TP, total protein; ALB, albumin; BUN, blood urea nitrogen; </w:t>
      </w:r>
      <w:proofErr w:type="spellStart"/>
      <w:r>
        <w:rPr>
          <w:rFonts w:ascii="Times New Roman" w:hAnsi="Times New Roman" w:cs="Times New Roman"/>
          <w:sz w:val="24"/>
        </w:rPr>
        <w:t>Scr</w:t>
      </w:r>
      <w:proofErr w:type="spellEnd"/>
      <w:r>
        <w:rPr>
          <w:rFonts w:ascii="Times New Roman" w:hAnsi="Times New Roman" w:cs="Times New Roman"/>
          <w:sz w:val="24"/>
        </w:rPr>
        <w:t>, serum creatinine; TC, total cholesterol; TG, triglycerides; HDL‑C, high‑density lipoprotein cholesterol; LDL‑C, low‑density lipoprotein cholesterol; GLU, glucose.</w:t>
      </w:r>
    </w:p>
    <w:p w:rsidR="00305424" w:rsidRDefault="00FE3F6A">
      <w:pPr>
        <w:spacing w:line="480" w:lineRule="auto"/>
        <w:jc w:val="center"/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Table </w:t>
      </w:r>
      <w:r>
        <w:rPr>
          <w:rFonts w:ascii="Times New Roman" w:hAnsi="Times New Roman" w:cs="Times New Roman" w:hint="eastAsia"/>
          <w:b/>
          <w:bCs/>
          <w:color w:val="000000" w:themeColor="text1"/>
          <w:sz w:val="24"/>
        </w:rPr>
        <w:t>S4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LASSO Regression Feature Selection Result Table</w:t>
      </w:r>
    </w:p>
    <w:tbl>
      <w:tblPr>
        <w:tblW w:w="4999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26"/>
        <w:gridCol w:w="3418"/>
      </w:tblGrid>
      <w:tr w:rsidR="00305424">
        <w:trPr>
          <w:trHeight w:val="340"/>
        </w:trPr>
        <w:tc>
          <w:tcPr>
            <w:tcW w:w="30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05424" w:rsidRDefault="00FE3F6A">
            <w:pPr>
              <w:pStyle w:val="NormalWeb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1F1F1F"/>
                <w:kern w:val="24"/>
                <w:sz w:val="28"/>
                <w:szCs w:val="28"/>
              </w:rPr>
              <w:t>Feature</w:t>
            </w:r>
          </w:p>
        </w:tc>
        <w:tc>
          <w:tcPr>
            <w:tcW w:w="2000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05424" w:rsidRDefault="00FE3F6A">
            <w:pPr>
              <w:pStyle w:val="NormalWeb"/>
              <w:widowControl/>
              <w:spacing w:beforeAutospacing="0" w:afterAutospacing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1F1F1F"/>
                <w:kern w:val="24"/>
                <w:sz w:val="28"/>
                <w:szCs w:val="28"/>
              </w:rPr>
              <w:t>Coefficient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Scr</w:t>
            </w:r>
            <w:proofErr w:type="spellEnd"/>
          </w:p>
        </w:tc>
        <w:tc>
          <w:tcPr>
            <w:tcW w:w="34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0.117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ALT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0.053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BMI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0.047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HDL-C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-0.046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TC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0.041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TP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0.032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Alcohol consumption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0.031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LDL-C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-0.028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Smoking status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-0.024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AST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-0.022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UCR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-0.019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lastRenderedPageBreak/>
              <w:t>GLU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-0.015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Gender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0.015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Late-night snacking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0.014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TG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0.011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Regular exercise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-0.010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Insurance type_2</w:t>
            </w: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（</w:t>
            </w: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medical insurance for urban residents</w:t>
            </w: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）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0.009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Education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0.007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Regular meal schedule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0.006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Family history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0.006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Insurance type_5(Uninsured)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0.006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Age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0.005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Coffee consumption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0.003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DBIL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-0.003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 xml:space="preserve">Marital status_2(Married) </w:t>
            </w:r>
          </w:p>
        </w:tc>
        <w:tc>
          <w:tcPr>
            <w:tcW w:w="3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-0.002</w:t>
            </w:r>
          </w:p>
        </w:tc>
      </w:tr>
      <w:tr w:rsidR="00305424">
        <w:trPr>
          <w:trHeight w:val="283"/>
        </w:trPr>
        <w:tc>
          <w:tcPr>
            <w:tcW w:w="3000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pStyle w:val="NormalWeb"/>
              <w:widowControl/>
              <w:spacing w:beforeAutospacing="0" w:afterAutospacing="0"/>
              <w:textAlignment w:val="bottom"/>
              <w:rPr>
                <w:rFonts w:ascii="Times New Roman" w:hAnsi="Times New Roman"/>
                <w:sz w:val="21"/>
                <w:szCs w:val="21"/>
              </w:rPr>
            </w:pPr>
            <w:proofErr w:type="spellStart"/>
            <w:r>
              <w:rPr>
                <w:rFonts w:ascii="Times New Roman" w:eastAsia="SimSun" w:hAnsi="Times New Roman"/>
                <w:color w:val="000000"/>
                <w:kern w:val="24"/>
                <w:sz w:val="28"/>
                <w:szCs w:val="28"/>
              </w:rPr>
              <w:t>Hb</w:t>
            </w:r>
            <w:proofErr w:type="spellEnd"/>
          </w:p>
        </w:tc>
        <w:tc>
          <w:tcPr>
            <w:tcW w:w="34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20" w:type="dxa"/>
              <w:left w:w="30" w:type="dxa"/>
              <w:bottom w:w="20" w:type="dxa"/>
              <w:right w:w="30" w:type="dxa"/>
            </w:tcMar>
            <w:vAlign w:val="bottom"/>
          </w:tcPr>
          <w:p w:rsidR="00305424" w:rsidRDefault="00FE3F6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eastAsia="SimSun" w:hAnsi="Times New Roman" w:cs="Times New Roman"/>
                <w:color w:val="000000"/>
                <w:kern w:val="0"/>
                <w:sz w:val="28"/>
                <w:szCs w:val="28"/>
                <w:lang w:bidi="ar"/>
              </w:rPr>
              <w:t>0.002</w:t>
            </w:r>
          </w:p>
        </w:tc>
      </w:tr>
    </w:tbl>
    <w:p w:rsidR="00305424" w:rsidRDefault="00305424" w:rsidP="00FE3F6A">
      <w:pPr>
        <w:spacing w:line="480" w:lineRule="auto"/>
      </w:pPr>
    </w:p>
    <w:sectPr w:rsidR="0030542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24"/>
    <w:rsid w:val="00305424"/>
    <w:rsid w:val="00FE3F6A"/>
    <w:rsid w:val="08B16C78"/>
    <w:rsid w:val="10C25FEF"/>
    <w:rsid w:val="13011894"/>
    <w:rsid w:val="23DC478B"/>
    <w:rsid w:val="26B408FD"/>
    <w:rsid w:val="2D621A34"/>
    <w:rsid w:val="35E41950"/>
    <w:rsid w:val="42022E4B"/>
    <w:rsid w:val="598E6B6B"/>
    <w:rsid w:val="64AF62B5"/>
    <w:rsid w:val="67B71FE4"/>
    <w:rsid w:val="6ACD201A"/>
    <w:rsid w:val="756C7F70"/>
    <w:rsid w:val="7BB8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015E018-94B9-4AA7-9A6E-6730CF23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909</Words>
  <Characters>5185</Characters>
  <Application>Microsoft Office Word</Application>
  <DocSecurity>0</DocSecurity>
  <Lines>43</Lines>
  <Paragraphs>12</Paragraphs>
  <ScaleCrop>false</ScaleCrop>
  <Company>HP Inc.</Company>
  <LinksUpToDate>false</LinksUpToDate>
  <CharactersWithSpaces>6082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谭楚霞的小电脑</dc:creator>
  <cp:lastModifiedBy>Tharani S</cp:lastModifiedBy>
  <cp:revision>2</cp:revision>
  <dcterms:created xsi:type="dcterms:W3CDTF">2026-04-22T02:06:00Z</dcterms:created>
  <dcterms:modified xsi:type="dcterms:W3CDTF">2026-07-14T07:25:00Z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