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A4CB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>Supplementary Information</w:t>
      </w:r>
    </w:p>
    <w:p w14:paraId="0A19C74E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proofErr w:type="spellStart"/>
      <w:r w:rsidRPr="00ED7E4F">
        <w:rPr>
          <w:rFonts w:ascii="Times New Roman" w:hAnsi="Times New Roman" w:cs="Times New Roman"/>
          <w:i/>
          <w:iCs/>
          <w:lang w:val="en-US"/>
        </w:rPr>
        <w:t>SiO</w:t>
      </w:r>
      <w:proofErr w:type="spellEnd"/>
      <w:r w:rsidRPr="00ED7E4F">
        <w:rPr>
          <w:rFonts w:ascii="Times New Roman" w:hAnsi="Times New Roman" w:cs="Times New Roman"/>
          <w:i/>
          <w:iCs/>
          <w:lang w:val="en-US"/>
        </w:rPr>
        <w:t>₂ Nanoparticle Morphology and Aggregation State Modulate Plant Antioxidant Responses Under Abiotic Stress: A Systematic Review and Meta-Analysis</w:t>
      </w:r>
    </w:p>
    <w:p w14:paraId="19FFC0B9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03913454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vertAlign w:val="superscript"/>
        </w:rPr>
      </w:pPr>
      <w:proofErr w:type="spellStart"/>
      <w:r w:rsidRPr="00ED7E4F">
        <w:rPr>
          <w:rFonts w:ascii="Times New Roman" w:hAnsi="Times New Roman" w:cs="Times New Roman"/>
        </w:rPr>
        <w:t>Emilaine</w:t>
      </w:r>
      <w:proofErr w:type="spellEnd"/>
      <w:r w:rsidRPr="00ED7E4F">
        <w:rPr>
          <w:rFonts w:ascii="Times New Roman" w:hAnsi="Times New Roman" w:cs="Times New Roman"/>
        </w:rPr>
        <w:t xml:space="preserve"> da Rocha Prado</w:t>
      </w:r>
      <w:r w:rsidRPr="00ED7E4F">
        <w:rPr>
          <w:rFonts w:ascii="Times New Roman" w:hAnsi="Times New Roman" w:cs="Times New Roman"/>
          <w:vertAlign w:val="superscript"/>
        </w:rPr>
        <w:t>1*</w:t>
      </w:r>
      <w:r w:rsidRPr="00ED7E4F">
        <w:rPr>
          <w:rFonts w:ascii="Times New Roman" w:hAnsi="Times New Roman" w:cs="Times New Roman"/>
        </w:rPr>
        <w:t>, Renato de Mello Prado</w:t>
      </w:r>
      <w:r w:rsidRPr="00ED7E4F">
        <w:rPr>
          <w:rFonts w:ascii="Times New Roman" w:hAnsi="Times New Roman" w:cs="Times New Roman"/>
          <w:vertAlign w:val="superscript"/>
        </w:rPr>
        <w:t>2</w:t>
      </w:r>
      <w:r w:rsidRPr="00ED7E4F">
        <w:rPr>
          <w:rFonts w:ascii="Times New Roman" w:hAnsi="Times New Roman" w:cs="Times New Roman"/>
        </w:rPr>
        <w:t xml:space="preserve">, </w:t>
      </w:r>
      <w:proofErr w:type="spellStart"/>
      <w:r w:rsidRPr="00ED7E4F">
        <w:rPr>
          <w:rFonts w:ascii="Times New Roman" w:hAnsi="Times New Roman" w:cs="Times New Roman"/>
        </w:rPr>
        <w:t>Reginaldo</w:t>
      </w:r>
      <w:proofErr w:type="spellEnd"/>
      <w:r w:rsidRPr="00ED7E4F">
        <w:rPr>
          <w:rFonts w:ascii="Times New Roman" w:hAnsi="Times New Roman" w:cs="Times New Roman"/>
        </w:rPr>
        <w:t xml:space="preserve"> de Oliveira</w:t>
      </w:r>
      <w:r w:rsidRPr="00ED7E4F">
        <w:rPr>
          <w:rFonts w:ascii="Times New Roman" w:hAnsi="Times New Roman" w:cs="Times New Roman"/>
          <w:vertAlign w:val="superscript"/>
        </w:rPr>
        <w:t>1</w:t>
      </w:r>
      <w:r w:rsidRPr="00ED7E4F">
        <w:rPr>
          <w:rFonts w:ascii="Times New Roman" w:hAnsi="Times New Roman" w:cs="Times New Roman"/>
        </w:rPr>
        <w:t>, Carlos Vital Gonzalez-Porras</w:t>
      </w:r>
      <w:r w:rsidRPr="00ED7E4F">
        <w:rPr>
          <w:rFonts w:ascii="Times New Roman" w:hAnsi="Times New Roman" w:cs="Times New Roman"/>
          <w:vertAlign w:val="superscript"/>
        </w:rPr>
        <w:t>1</w:t>
      </w:r>
      <w:r w:rsidRPr="00ED7E4F">
        <w:rPr>
          <w:rFonts w:ascii="Times New Roman" w:hAnsi="Times New Roman" w:cs="Times New Roman"/>
        </w:rPr>
        <w:t xml:space="preserve">, Lara </w:t>
      </w:r>
      <w:proofErr w:type="spellStart"/>
      <w:r w:rsidRPr="00ED7E4F">
        <w:rPr>
          <w:rFonts w:ascii="Times New Roman" w:hAnsi="Times New Roman" w:cs="Times New Roman"/>
        </w:rPr>
        <w:t>Yassuko</w:t>
      </w:r>
      <w:proofErr w:type="spellEnd"/>
      <w:r w:rsidRPr="00ED7E4F">
        <w:rPr>
          <w:rFonts w:ascii="Times New Roman" w:hAnsi="Times New Roman" w:cs="Times New Roman"/>
        </w:rPr>
        <w:t xml:space="preserve"> Nakamura</w:t>
      </w:r>
      <w:r w:rsidRPr="00ED7E4F">
        <w:rPr>
          <w:rFonts w:ascii="Times New Roman" w:hAnsi="Times New Roman" w:cs="Times New Roman"/>
          <w:vertAlign w:val="superscript"/>
        </w:rPr>
        <w:t>1</w:t>
      </w:r>
      <w:r w:rsidRPr="00ED7E4F">
        <w:rPr>
          <w:rFonts w:ascii="Times New Roman" w:hAnsi="Times New Roman" w:cs="Times New Roman"/>
        </w:rPr>
        <w:t xml:space="preserve">, Priscila </w:t>
      </w:r>
      <w:proofErr w:type="spellStart"/>
      <w:r w:rsidRPr="00ED7E4F">
        <w:rPr>
          <w:rFonts w:ascii="Times New Roman" w:hAnsi="Times New Roman" w:cs="Times New Roman"/>
        </w:rPr>
        <w:t>Lupino</w:t>
      </w:r>
      <w:proofErr w:type="spellEnd"/>
      <w:r w:rsidRPr="00ED7E4F">
        <w:rPr>
          <w:rFonts w:ascii="Times New Roman" w:hAnsi="Times New Roman" w:cs="Times New Roman"/>
        </w:rPr>
        <w:t xml:space="preserve"> Gratão</w:t>
      </w:r>
      <w:r w:rsidRPr="00ED7E4F">
        <w:rPr>
          <w:rFonts w:ascii="Times New Roman" w:hAnsi="Times New Roman" w:cs="Times New Roman"/>
          <w:vertAlign w:val="superscript"/>
        </w:rPr>
        <w:t>1</w:t>
      </w:r>
    </w:p>
    <w:p w14:paraId="74913A0D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ED7E4F">
        <w:rPr>
          <w:rFonts w:ascii="Times New Roman" w:hAnsi="Times New Roman" w:cs="Times New Roman"/>
          <w:noProof/>
        </w:rPr>
        <w:drawing>
          <wp:inline distT="0" distB="0" distL="0" distR="0" wp14:anchorId="2261E638" wp14:editId="20C9C61E">
            <wp:extent cx="5867400" cy="4852515"/>
            <wp:effectExtent l="0" t="0" r="0" b="5715"/>
            <wp:docPr id="161097482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528" cy="485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6D0621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 xml:space="preserve">Supplementary Figure S1 | </w:t>
      </w:r>
      <w:r w:rsidRPr="00ED7E4F">
        <w:rPr>
          <w:rFonts w:ascii="Times New Roman" w:hAnsi="Times New Roman" w:cs="Times New Roman"/>
          <w:lang w:val="en-US"/>
        </w:rPr>
        <w:t xml:space="preserve">Sensitivity analysis – exclusion of SD-imputed observations. Pooled 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 ± 95% CI computed after excluding all observations for which SD was imputed (46.3% of total), re-fitted with REML random-effects; </w:t>
      </w:r>
      <w:proofErr w:type="spellStart"/>
      <w:r w:rsidRPr="00ED7E4F">
        <w:rPr>
          <w:rFonts w:ascii="Times New Roman" w:hAnsi="Times New Roman" w:cs="Times New Roman"/>
          <w:lang w:val="en-US"/>
        </w:rPr>
        <w:t>Paule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-Mandel I² correction†. Results are directionally consistent with the primary analysis for all variables. APX lost statistical significance under this stricter subset (k = 11, ns), and GR, </w:t>
      </w:r>
      <w:r w:rsidRPr="00ED7E4F">
        <w:rPr>
          <w:rFonts w:ascii="Times New Roman" w:hAnsi="Times New Roman" w:cs="Times New Roman"/>
          <w:lang w:val="en-US"/>
        </w:rPr>
        <w:lastRenderedPageBreak/>
        <w:t>though nominally significant, is supported by only k = 2 non-imputed observations; both should be interpreted cautiously pending additional non-imputed data.</w:t>
      </w:r>
    </w:p>
    <w:p w14:paraId="2B90C7C7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C4CE214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ED7E4F">
        <w:rPr>
          <w:rFonts w:ascii="Times New Roman" w:hAnsi="Times New Roman" w:cs="Times New Roman"/>
          <w:noProof/>
        </w:rPr>
        <w:drawing>
          <wp:inline distT="0" distB="0" distL="0" distR="0" wp14:anchorId="77C22338" wp14:editId="6DCE0FA1">
            <wp:extent cx="6192840" cy="4642583"/>
            <wp:effectExtent l="0" t="0" r="0" b="0"/>
            <wp:docPr id="22650095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429" cy="4649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8A005E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 xml:space="preserve">Supplementary Figure S2 | </w:t>
      </w:r>
      <w:r w:rsidRPr="00ED7E4F">
        <w:rPr>
          <w:rFonts w:ascii="Times New Roman" w:hAnsi="Times New Roman" w:cs="Times New Roman"/>
          <w:lang w:val="en-US"/>
        </w:rPr>
        <w:t xml:space="preserve">Funnel plots for all response variables. Each panel shows individual 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 vs standard error (SE). The vertical solid line indicates the pooled REML 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; the dashed line indicates 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> = 0. Blue shading = pseudo-95% CI; yellow shading = pseudo-99% CI contours. Open circles (○) indicate studies imputed by Duval-Tweedie trim-and-fill. Egger’s weighted regression p-value annotated per panel (red = significant asymmetry, p &lt; 0.05).</w:t>
      </w:r>
    </w:p>
    <w:p w14:paraId="353CED97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7D7392B8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5D08704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ED7E4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53A9019" wp14:editId="02B6C542">
            <wp:extent cx="5828030" cy="6858635"/>
            <wp:effectExtent l="0" t="0" r="0" b="0"/>
            <wp:docPr id="93327888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685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88D21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 xml:space="preserve">Supplementary Figure S3 | </w:t>
      </w:r>
      <w:r w:rsidRPr="00ED7E4F">
        <w:rPr>
          <w:rFonts w:ascii="Times New Roman" w:hAnsi="Times New Roman" w:cs="Times New Roman"/>
          <w:lang w:val="en-US"/>
        </w:rPr>
        <w:t>Normal Q-Q plots of studentized residuals for all response variables. Deviation from the dashed line indicates departure from normality. Shapiro-Wilk p-values are annotated per panel (red = p &lt; 0.05, indicating significant departure). The majority of variables show adequate normality of residuals, supporting the validity of REML random-effects estimation</w:t>
      </w:r>
    </w:p>
    <w:p w14:paraId="7DAAFB4F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2377FB1D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4CE9534A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ED7E4F">
        <w:rPr>
          <w:rFonts w:ascii="Times New Roman" w:hAnsi="Times New Roman" w:cs="Times New Roman"/>
          <w:noProof/>
        </w:rPr>
        <w:drawing>
          <wp:inline distT="0" distB="0" distL="0" distR="0" wp14:anchorId="38BA34F7" wp14:editId="5A8EC637">
            <wp:extent cx="5655878" cy="4040020"/>
            <wp:effectExtent l="0" t="0" r="0" b="0"/>
            <wp:docPr id="1675863977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342" cy="4046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2D09DD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 xml:space="preserve">Supplementary Figure S4 | </w:t>
      </w:r>
      <w:r w:rsidRPr="00ED7E4F">
        <w:rPr>
          <w:rFonts w:ascii="Times New Roman" w:hAnsi="Times New Roman" w:cs="Times New Roman"/>
          <w:lang w:val="en-US"/>
        </w:rPr>
        <w:t xml:space="preserve">Distribution of individual effect sizes by response variable. Kernel density estimates of all individual 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 values per variable. Vertical lines indicate 2.5th, 50th, and 97.5th percentiles. Dashed vertical line at 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 = 0. Antioxidant enzymes (green) peak consistently above zero; oxidative markers (yellow-orange: MDA, H₂O₂) peak below zero, reflecting protective </w:t>
      </w:r>
      <w:proofErr w:type="spellStart"/>
      <w:r w:rsidRPr="00ED7E4F">
        <w:rPr>
          <w:rFonts w:ascii="Times New Roman" w:hAnsi="Times New Roman" w:cs="Times New Roman"/>
          <w:lang w:val="en-US"/>
        </w:rPr>
        <w:t>SiO</w:t>
      </w:r>
      <w:proofErr w:type="spellEnd"/>
      <w:r w:rsidRPr="00ED7E4F">
        <w:rPr>
          <w:rFonts w:ascii="Times New Roman" w:hAnsi="Times New Roman" w:cs="Times New Roman"/>
          <w:lang w:val="en-US"/>
        </w:rPr>
        <w:t>₂ NP effects. Growth/osmolyte variables (red) show bimodal distributions consistent with stress-type heterogeneity.</w:t>
      </w:r>
    </w:p>
    <w:p w14:paraId="10E01DCF" w14:textId="77777777" w:rsidR="006666B7" w:rsidRPr="00ED7E4F" w:rsidRDefault="006666B7" w:rsidP="006666B7">
      <w:pPr>
        <w:spacing w:after="0" w:line="480" w:lineRule="auto"/>
        <w:jc w:val="center"/>
        <w:rPr>
          <w:lang w:val="en-US"/>
        </w:rPr>
      </w:pPr>
      <w:r w:rsidRPr="00ED7E4F">
        <w:rPr>
          <w:noProof/>
          <w:lang w:val="en-US"/>
        </w:rPr>
        <w:lastRenderedPageBreak/>
        <w:drawing>
          <wp:inline distT="0" distB="0" distL="0" distR="0" wp14:anchorId="32571EB2" wp14:editId="53417006">
            <wp:extent cx="5745336" cy="2872668"/>
            <wp:effectExtent l="0" t="0" r="0" b="0"/>
            <wp:docPr id="3086903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88" cy="2881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E43C5C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 xml:space="preserve">Supplementary Figure S5 | </w:t>
      </w:r>
      <w:r w:rsidRPr="00ED7E4F">
        <w:rPr>
          <w:rFonts w:ascii="Times New Roman" w:hAnsi="Times New Roman" w:cs="Times New Roman"/>
          <w:lang w:val="en-US"/>
        </w:rPr>
        <w:t>Diagnostic plots for meta-analysis quality assessment. Left: Normal Q-Q plot of studentized residuals across all effect sizes and variables; deviation from the dashed line indicates departure from normality. Right: Radial (Galbraith) plot showing standardized effect size (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/SE) versus precision (1/SE) for all 313 observations, stratified by stress type (drought = orange; heavy metal = green; salinity = blue); the central diagonal line represents the pooled REML 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 and the horizontal dashed lines indicate the ±1.96 bounds. Stars denote outliers (|z| &gt; 3).</w:t>
      </w:r>
    </w:p>
    <w:p w14:paraId="4EEC44B3" w14:textId="77777777" w:rsidR="006666B7" w:rsidRPr="00ED7E4F" w:rsidRDefault="006666B7" w:rsidP="006666B7">
      <w:pPr>
        <w:spacing w:after="0" w:line="480" w:lineRule="auto"/>
        <w:rPr>
          <w:lang w:val="en-US"/>
        </w:rPr>
      </w:pPr>
    </w:p>
    <w:p w14:paraId="59147878" w14:textId="77777777" w:rsidR="006666B7" w:rsidRPr="00ED7E4F" w:rsidRDefault="006666B7" w:rsidP="006666B7">
      <w:pPr>
        <w:jc w:val="center"/>
        <w:rPr>
          <w:lang w:val="en-US"/>
        </w:rPr>
      </w:pPr>
      <w:r w:rsidRPr="00ED7E4F">
        <w:rPr>
          <w:noProof/>
          <w:lang w:val="en-US"/>
        </w:rPr>
        <w:lastRenderedPageBreak/>
        <w:drawing>
          <wp:inline distT="0" distB="0" distL="0" distR="0" wp14:anchorId="10737C76" wp14:editId="397A6C05">
            <wp:extent cx="4114800" cy="5486400"/>
            <wp:effectExtent l="0" t="0" r="0" b="0"/>
            <wp:docPr id="90016" name="Imagem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S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5E790D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 xml:space="preserve">Supplementary Figure S6 | </w:t>
      </w:r>
      <w:r w:rsidRPr="00ED7E4F">
        <w:rPr>
          <w:rFonts w:ascii="Times New Roman" w:hAnsi="Times New Roman" w:cs="Times New Roman"/>
          <w:lang w:val="en-US"/>
        </w:rPr>
        <w:t xml:space="preserve">Dissolution and aggregation by NP morphology. Top: cumulative silicic acid release (mg L⁻¹) after 168 h in </w:t>
      </w:r>
      <w:proofErr w:type="spellStart"/>
      <w:r w:rsidRPr="00ED7E4F">
        <w:rPr>
          <w:rFonts w:ascii="Times New Roman" w:hAnsi="Times New Roman" w:cs="Times New Roman"/>
          <w:lang w:val="en-US"/>
        </w:rPr>
        <w:t>deionised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 water for solid (</w:t>
      </w:r>
      <w:proofErr w:type="spellStart"/>
      <w:r w:rsidRPr="00ED7E4F">
        <w:rPr>
          <w:rFonts w:ascii="Times New Roman" w:hAnsi="Times New Roman" w:cs="Times New Roman"/>
          <w:lang w:val="en-US"/>
        </w:rPr>
        <w:t>SSiO</w:t>
      </w:r>
      <w:proofErr w:type="spellEnd"/>
      <w:r w:rsidRPr="00ED7E4F">
        <w:rPr>
          <w:rFonts w:ascii="Times New Roman" w:hAnsi="Times New Roman" w:cs="Times New Roman"/>
          <w:lang w:val="en-US"/>
        </w:rPr>
        <w:t>₂), porous (</w:t>
      </w:r>
      <w:proofErr w:type="spellStart"/>
      <w:r w:rsidRPr="00ED7E4F">
        <w:rPr>
          <w:rFonts w:ascii="Times New Roman" w:hAnsi="Times New Roman" w:cs="Times New Roman"/>
          <w:lang w:val="en-US"/>
        </w:rPr>
        <w:t>PSiO</w:t>
      </w:r>
      <w:proofErr w:type="spellEnd"/>
      <w:r w:rsidRPr="00ED7E4F">
        <w:rPr>
          <w:rFonts w:ascii="Times New Roman" w:hAnsi="Times New Roman" w:cs="Times New Roman"/>
          <w:lang w:val="en-US"/>
        </w:rPr>
        <w:t>₂), and hollow (</w:t>
      </w:r>
      <w:proofErr w:type="spellStart"/>
      <w:r w:rsidRPr="00ED7E4F">
        <w:rPr>
          <w:rFonts w:ascii="Times New Roman" w:hAnsi="Times New Roman" w:cs="Times New Roman"/>
          <w:lang w:val="en-US"/>
        </w:rPr>
        <w:t>HSiO</w:t>
      </w:r>
      <w:proofErr w:type="spellEnd"/>
      <w:r w:rsidRPr="00ED7E4F">
        <w:rPr>
          <w:rFonts w:ascii="Times New Roman" w:hAnsi="Times New Roman" w:cs="Times New Roman"/>
          <w:lang w:val="en-US"/>
        </w:rPr>
        <w:t>₂) NPs; hollow releases ~14-fold more Si than solid. Bottom: DLS hydrodynamic vs TEM primary particle size for each morphology, confirming aggregation in all preparations (DLS/TEM ratio &gt; 2 for all three). Data from Wang et al.⁷ (J. Agric. Food Chem. 2025). Split out from the main-text Figure 4 morphology comparison for clarity.</w:t>
      </w:r>
    </w:p>
    <w:p w14:paraId="205698F4" w14:textId="77777777" w:rsidR="006666B7" w:rsidRPr="00ED7E4F" w:rsidRDefault="006666B7" w:rsidP="006666B7">
      <w:pPr>
        <w:spacing w:after="0" w:line="480" w:lineRule="auto"/>
        <w:rPr>
          <w:lang w:val="en-US"/>
        </w:rPr>
      </w:pPr>
    </w:p>
    <w:p w14:paraId="35368915" w14:textId="77777777" w:rsidR="006666B7" w:rsidRPr="00ED7E4F" w:rsidRDefault="006666B7" w:rsidP="006666B7">
      <w:pPr>
        <w:jc w:val="center"/>
        <w:rPr>
          <w:lang w:val="en-US"/>
        </w:rPr>
      </w:pPr>
      <w:r w:rsidRPr="00ED7E4F">
        <w:rPr>
          <w:noProof/>
          <w:lang w:val="en-US"/>
        </w:rPr>
        <w:lastRenderedPageBreak/>
        <w:drawing>
          <wp:inline distT="0" distB="0" distL="0" distR="0" wp14:anchorId="288EDBA7" wp14:editId="0B8D555C">
            <wp:extent cx="5486400" cy="4023360"/>
            <wp:effectExtent l="0" t="0" r="0" b="0"/>
            <wp:docPr id="90017" name="Imagem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S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35B1B4" w14:textId="77777777" w:rsidR="006666B7" w:rsidRPr="00ED7E4F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 xml:space="preserve">Supplementary Figure S7 | </w:t>
      </w:r>
      <w:r w:rsidRPr="00ED7E4F">
        <w:rPr>
          <w:rFonts w:ascii="Times New Roman" w:hAnsi="Times New Roman" w:cs="Times New Roman"/>
          <w:lang w:val="en-US"/>
        </w:rPr>
        <w:t xml:space="preserve">Green/biogenic vs industrial </w:t>
      </w:r>
      <w:proofErr w:type="spellStart"/>
      <w:r w:rsidRPr="00ED7E4F">
        <w:rPr>
          <w:rFonts w:ascii="Times New Roman" w:hAnsi="Times New Roman" w:cs="Times New Roman"/>
          <w:lang w:val="en-US"/>
        </w:rPr>
        <w:t>SiO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₂ NPs. Pooled </w:t>
      </w:r>
      <w:proofErr w:type="spellStart"/>
      <w:r w:rsidRPr="00ED7E4F">
        <w:rPr>
          <w:rFonts w:ascii="Times New Roman" w:hAnsi="Times New Roman" w:cs="Times New Roman"/>
          <w:lang w:val="en-US"/>
        </w:rPr>
        <w:t>lnRR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 ± 95% CI per response variable for green/biogenic (rice husk extract, plant extract-derived; k = 7–8 per variable) versus industrial </w:t>
      </w:r>
      <w:proofErr w:type="spellStart"/>
      <w:r w:rsidRPr="00ED7E4F">
        <w:rPr>
          <w:rFonts w:ascii="Times New Roman" w:hAnsi="Times New Roman" w:cs="Times New Roman"/>
          <w:lang w:val="en-US"/>
        </w:rPr>
        <w:t>SiO</w:t>
      </w:r>
      <w:proofErr w:type="spellEnd"/>
      <w:r w:rsidRPr="00ED7E4F">
        <w:rPr>
          <w:rFonts w:ascii="Times New Roman" w:hAnsi="Times New Roman" w:cs="Times New Roman"/>
          <w:lang w:val="en-US"/>
        </w:rPr>
        <w:t xml:space="preserve">₂ NPs. The omnibus moderator test was non-significant for all variables (Q_M = 1.82, </w:t>
      </w:r>
      <w:proofErr w:type="spellStart"/>
      <w:r w:rsidRPr="00ED7E4F">
        <w:rPr>
          <w:rFonts w:ascii="Times New Roman" w:hAnsi="Times New Roman" w:cs="Times New Roman"/>
          <w:lang w:val="en-US"/>
        </w:rPr>
        <w:t>df</w:t>
      </w:r>
      <w:proofErr w:type="spellEnd"/>
      <w:r w:rsidRPr="00ED7E4F">
        <w:rPr>
          <w:rFonts w:ascii="Times New Roman" w:hAnsi="Times New Roman" w:cs="Times New Roman"/>
          <w:lang w:val="en-US"/>
        </w:rPr>
        <w:t> = 1, p = 0.18), which should be interpreted as insufficient statistical power to detect moderate differences rather than as established equivalence between synthesis routes. Split out from the main-text Figure 7 heatmap as an exploratory, underpowered secondary comparison (see Discussion).</w:t>
      </w:r>
    </w:p>
    <w:p w14:paraId="0EEEF1AA" w14:textId="77777777" w:rsidR="006666B7" w:rsidRPr="00ED7E4F" w:rsidRDefault="006666B7" w:rsidP="006666B7">
      <w:pPr>
        <w:spacing w:after="0" w:line="480" w:lineRule="auto"/>
        <w:rPr>
          <w:lang w:val="en-US"/>
        </w:rPr>
      </w:pPr>
    </w:p>
    <w:p w14:paraId="7FB9C97A" w14:textId="77777777" w:rsidR="006666B7" w:rsidRPr="00ED7E4F" w:rsidRDefault="006666B7" w:rsidP="006666B7">
      <w:pPr>
        <w:jc w:val="center"/>
        <w:rPr>
          <w:lang w:val="en-US"/>
        </w:rPr>
      </w:pPr>
      <w:r w:rsidRPr="00ED7E4F">
        <w:rPr>
          <w:noProof/>
          <w:lang w:val="en-US"/>
        </w:rPr>
        <w:lastRenderedPageBreak/>
        <w:drawing>
          <wp:inline distT="0" distB="0" distL="0" distR="0" wp14:anchorId="48106D08" wp14:editId="3933B81A">
            <wp:extent cx="5486400" cy="3017520"/>
            <wp:effectExtent l="0" t="0" r="0" b="0"/>
            <wp:docPr id="9020" name="Imagem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S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35727" w14:textId="77777777" w:rsidR="006666B7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7E4F">
        <w:rPr>
          <w:rFonts w:ascii="Times New Roman" w:hAnsi="Times New Roman" w:cs="Times New Roman"/>
          <w:b/>
          <w:bCs/>
          <w:lang w:val="en-US"/>
        </w:rPr>
        <w:t xml:space="preserve">Supplementary Figure S8 | </w:t>
      </w:r>
      <w:r w:rsidRPr="00ED7E4F">
        <w:rPr>
          <w:rFonts w:ascii="Times New Roman" w:hAnsi="Times New Roman" w:cs="Times New Roman"/>
          <w:lang w:val="en-US"/>
        </w:rPr>
        <w:t>Composite view of nanoparticle structure, dissolution, and plant response. Combined reference figure showing, in one panel, the morphology comparison (main-text Figure 4), the silicic acid dissolution kinetics, and the DLS-vs-TEM aggregation data (Supplementary Figure S6) together, for readers who wish to see the full structure-dissolution-efficacy relationship in a single view. Data from Wang et al.⁷ (J. Agric. Food Chem. 2025).</w:t>
      </w:r>
    </w:p>
    <w:p w14:paraId="04E33EC6" w14:textId="77777777" w:rsidR="006666B7" w:rsidRDefault="006666B7" w:rsidP="006666B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1CEBEFF9" w14:textId="77777777" w:rsidR="006666B7" w:rsidRDefault="006666B7" w:rsidP="006666B7">
      <w:pPr>
        <w:spacing w:after="140" w:line="480" w:lineRule="auto"/>
        <w:jc w:val="both"/>
        <w:rPr>
          <w:lang w:val="en-US"/>
        </w:rPr>
      </w:pPr>
    </w:p>
    <w:p w14:paraId="61345A08" w14:textId="77777777" w:rsidR="00496A96" w:rsidRDefault="00496A96"/>
    <w:sectPr w:rsidR="00496A96" w:rsidSect="006666B7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B7"/>
    <w:rsid w:val="0000379E"/>
    <w:rsid w:val="000052BF"/>
    <w:rsid w:val="0000549B"/>
    <w:rsid w:val="0000699D"/>
    <w:rsid w:val="0001167A"/>
    <w:rsid w:val="000143B2"/>
    <w:rsid w:val="000162D0"/>
    <w:rsid w:val="00030C37"/>
    <w:rsid w:val="000355FE"/>
    <w:rsid w:val="00036883"/>
    <w:rsid w:val="0004162A"/>
    <w:rsid w:val="00046929"/>
    <w:rsid w:val="0005448A"/>
    <w:rsid w:val="00054ED0"/>
    <w:rsid w:val="00062CB3"/>
    <w:rsid w:val="00074330"/>
    <w:rsid w:val="000853A1"/>
    <w:rsid w:val="00095757"/>
    <w:rsid w:val="000A0733"/>
    <w:rsid w:val="000A0B12"/>
    <w:rsid w:val="000A291A"/>
    <w:rsid w:val="000A629A"/>
    <w:rsid w:val="000C10A1"/>
    <w:rsid w:val="000C4F51"/>
    <w:rsid w:val="000D24F1"/>
    <w:rsid w:val="000E7018"/>
    <w:rsid w:val="000F0BC3"/>
    <w:rsid w:val="000F68DD"/>
    <w:rsid w:val="0010733D"/>
    <w:rsid w:val="001102D4"/>
    <w:rsid w:val="00111E0F"/>
    <w:rsid w:val="001138C4"/>
    <w:rsid w:val="001219F8"/>
    <w:rsid w:val="00122A3D"/>
    <w:rsid w:val="00126923"/>
    <w:rsid w:val="001279DF"/>
    <w:rsid w:val="00143630"/>
    <w:rsid w:val="00165BEE"/>
    <w:rsid w:val="00170E87"/>
    <w:rsid w:val="001827CA"/>
    <w:rsid w:val="0018747E"/>
    <w:rsid w:val="001A203F"/>
    <w:rsid w:val="001A217C"/>
    <w:rsid w:val="001A23A2"/>
    <w:rsid w:val="001B6798"/>
    <w:rsid w:val="001C1851"/>
    <w:rsid w:val="001C1D0F"/>
    <w:rsid w:val="001C2676"/>
    <w:rsid w:val="001D01EB"/>
    <w:rsid w:val="001D1843"/>
    <w:rsid w:val="001E303F"/>
    <w:rsid w:val="001E3A2F"/>
    <w:rsid w:val="001E54FF"/>
    <w:rsid w:val="00206D37"/>
    <w:rsid w:val="00212F52"/>
    <w:rsid w:val="0021531C"/>
    <w:rsid w:val="00215B8C"/>
    <w:rsid w:val="0022086B"/>
    <w:rsid w:val="00222226"/>
    <w:rsid w:val="00230DB1"/>
    <w:rsid w:val="00232F52"/>
    <w:rsid w:val="00236F89"/>
    <w:rsid w:val="00251D0F"/>
    <w:rsid w:val="0025764E"/>
    <w:rsid w:val="002612E6"/>
    <w:rsid w:val="00265ABD"/>
    <w:rsid w:val="0028028B"/>
    <w:rsid w:val="002806F1"/>
    <w:rsid w:val="00283BCE"/>
    <w:rsid w:val="00296A64"/>
    <w:rsid w:val="002A7908"/>
    <w:rsid w:val="002B329B"/>
    <w:rsid w:val="002C2CBC"/>
    <w:rsid w:val="002F17CB"/>
    <w:rsid w:val="002F3531"/>
    <w:rsid w:val="002F3974"/>
    <w:rsid w:val="002F53F9"/>
    <w:rsid w:val="002F711A"/>
    <w:rsid w:val="00300A1D"/>
    <w:rsid w:val="00306D76"/>
    <w:rsid w:val="0031604C"/>
    <w:rsid w:val="00316D38"/>
    <w:rsid w:val="00322639"/>
    <w:rsid w:val="003247CF"/>
    <w:rsid w:val="00332757"/>
    <w:rsid w:val="00332E47"/>
    <w:rsid w:val="00336718"/>
    <w:rsid w:val="00343FF1"/>
    <w:rsid w:val="00354C9D"/>
    <w:rsid w:val="003624A0"/>
    <w:rsid w:val="00374D6C"/>
    <w:rsid w:val="00383AB4"/>
    <w:rsid w:val="00385F77"/>
    <w:rsid w:val="0039340E"/>
    <w:rsid w:val="00393881"/>
    <w:rsid w:val="00395A53"/>
    <w:rsid w:val="003C1593"/>
    <w:rsid w:val="003C4B04"/>
    <w:rsid w:val="003C75D3"/>
    <w:rsid w:val="003D22A4"/>
    <w:rsid w:val="003D274D"/>
    <w:rsid w:val="003D4148"/>
    <w:rsid w:val="003D69CF"/>
    <w:rsid w:val="003E73E1"/>
    <w:rsid w:val="003F0B55"/>
    <w:rsid w:val="003F2A82"/>
    <w:rsid w:val="003F3FFC"/>
    <w:rsid w:val="003F5185"/>
    <w:rsid w:val="00400D38"/>
    <w:rsid w:val="0040364D"/>
    <w:rsid w:val="004404C9"/>
    <w:rsid w:val="0047190D"/>
    <w:rsid w:val="00473212"/>
    <w:rsid w:val="0048232C"/>
    <w:rsid w:val="004839EC"/>
    <w:rsid w:val="00496A96"/>
    <w:rsid w:val="0049729F"/>
    <w:rsid w:val="004B4150"/>
    <w:rsid w:val="004C0D31"/>
    <w:rsid w:val="004C12C9"/>
    <w:rsid w:val="004C1704"/>
    <w:rsid w:val="004D521B"/>
    <w:rsid w:val="004F5181"/>
    <w:rsid w:val="00506463"/>
    <w:rsid w:val="005073B2"/>
    <w:rsid w:val="00507A4C"/>
    <w:rsid w:val="00520992"/>
    <w:rsid w:val="005258B9"/>
    <w:rsid w:val="00526A91"/>
    <w:rsid w:val="00532BBA"/>
    <w:rsid w:val="00533F95"/>
    <w:rsid w:val="00541425"/>
    <w:rsid w:val="00541EDB"/>
    <w:rsid w:val="0054304A"/>
    <w:rsid w:val="0054386F"/>
    <w:rsid w:val="005469FD"/>
    <w:rsid w:val="00561BA6"/>
    <w:rsid w:val="00566893"/>
    <w:rsid w:val="00574506"/>
    <w:rsid w:val="0057698C"/>
    <w:rsid w:val="00576BE2"/>
    <w:rsid w:val="00583229"/>
    <w:rsid w:val="00593E2B"/>
    <w:rsid w:val="005A723D"/>
    <w:rsid w:val="005B1956"/>
    <w:rsid w:val="005B4718"/>
    <w:rsid w:val="005B4B7E"/>
    <w:rsid w:val="005C1DF2"/>
    <w:rsid w:val="005C586E"/>
    <w:rsid w:val="005D178F"/>
    <w:rsid w:val="005D3DF8"/>
    <w:rsid w:val="005E63D0"/>
    <w:rsid w:val="005F0E68"/>
    <w:rsid w:val="0061462F"/>
    <w:rsid w:val="00617F27"/>
    <w:rsid w:val="00620581"/>
    <w:rsid w:val="00626C1F"/>
    <w:rsid w:val="00627F3A"/>
    <w:rsid w:val="006421C7"/>
    <w:rsid w:val="00643C28"/>
    <w:rsid w:val="006459DD"/>
    <w:rsid w:val="006478EB"/>
    <w:rsid w:val="00656463"/>
    <w:rsid w:val="006643BB"/>
    <w:rsid w:val="006666B7"/>
    <w:rsid w:val="00666ECF"/>
    <w:rsid w:val="00672A6B"/>
    <w:rsid w:val="00682691"/>
    <w:rsid w:val="0068756E"/>
    <w:rsid w:val="006A2837"/>
    <w:rsid w:val="006A33B1"/>
    <w:rsid w:val="006A36EF"/>
    <w:rsid w:val="006B44D3"/>
    <w:rsid w:val="006E6B22"/>
    <w:rsid w:val="006F57BB"/>
    <w:rsid w:val="0071571A"/>
    <w:rsid w:val="00720A0B"/>
    <w:rsid w:val="00724346"/>
    <w:rsid w:val="0073698C"/>
    <w:rsid w:val="007421C4"/>
    <w:rsid w:val="00745B0D"/>
    <w:rsid w:val="00746154"/>
    <w:rsid w:val="0075166A"/>
    <w:rsid w:val="00783FF2"/>
    <w:rsid w:val="0078487E"/>
    <w:rsid w:val="007877B8"/>
    <w:rsid w:val="00796669"/>
    <w:rsid w:val="007A01C3"/>
    <w:rsid w:val="007A0E61"/>
    <w:rsid w:val="007B609D"/>
    <w:rsid w:val="007C0892"/>
    <w:rsid w:val="007C5D8F"/>
    <w:rsid w:val="007E55A7"/>
    <w:rsid w:val="007E673A"/>
    <w:rsid w:val="007F1E0F"/>
    <w:rsid w:val="00800B08"/>
    <w:rsid w:val="00810285"/>
    <w:rsid w:val="00810781"/>
    <w:rsid w:val="00813F6A"/>
    <w:rsid w:val="0082070B"/>
    <w:rsid w:val="00830DA7"/>
    <w:rsid w:val="00832543"/>
    <w:rsid w:val="00834C25"/>
    <w:rsid w:val="008448A5"/>
    <w:rsid w:val="0085761A"/>
    <w:rsid w:val="00860C9D"/>
    <w:rsid w:val="008674B1"/>
    <w:rsid w:val="00872820"/>
    <w:rsid w:val="00876D5D"/>
    <w:rsid w:val="008807CF"/>
    <w:rsid w:val="008B2467"/>
    <w:rsid w:val="008B7548"/>
    <w:rsid w:val="008C0758"/>
    <w:rsid w:val="008C11DD"/>
    <w:rsid w:val="008D4F62"/>
    <w:rsid w:val="008E72D3"/>
    <w:rsid w:val="008F29C8"/>
    <w:rsid w:val="00903FEA"/>
    <w:rsid w:val="0090481D"/>
    <w:rsid w:val="0091722B"/>
    <w:rsid w:val="0092582B"/>
    <w:rsid w:val="00925900"/>
    <w:rsid w:val="00926CA2"/>
    <w:rsid w:val="0094030A"/>
    <w:rsid w:val="00940AB7"/>
    <w:rsid w:val="00940AE6"/>
    <w:rsid w:val="00947ADC"/>
    <w:rsid w:val="00960826"/>
    <w:rsid w:val="0097614F"/>
    <w:rsid w:val="00976CC8"/>
    <w:rsid w:val="009804EE"/>
    <w:rsid w:val="00990C4F"/>
    <w:rsid w:val="009A1F55"/>
    <w:rsid w:val="009C276E"/>
    <w:rsid w:val="009C2AF3"/>
    <w:rsid w:val="009D6EEF"/>
    <w:rsid w:val="009E1BCB"/>
    <w:rsid w:val="009E6BF1"/>
    <w:rsid w:val="009F1F28"/>
    <w:rsid w:val="00A00CF3"/>
    <w:rsid w:val="00A0323B"/>
    <w:rsid w:val="00A04D60"/>
    <w:rsid w:val="00A14642"/>
    <w:rsid w:val="00A151C9"/>
    <w:rsid w:val="00A21DD5"/>
    <w:rsid w:val="00A2451E"/>
    <w:rsid w:val="00A262A2"/>
    <w:rsid w:val="00A325C9"/>
    <w:rsid w:val="00A438CD"/>
    <w:rsid w:val="00A50A1F"/>
    <w:rsid w:val="00A520FF"/>
    <w:rsid w:val="00A56C83"/>
    <w:rsid w:val="00A6585D"/>
    <w:rsid w:val="00A75491"/>
    <w:rsid w:val="00A77006"/>
    <w:rsid w:val="00A9274E"/>
    <w:rsid w:val="00A97006"/>
    <w:rsid w:val="00AA08B3"/>
    <w:rsid w:val="00AA4AD2"/>
    <w:rsid w:val="00AA7995"/>
    <w:rsid w:val="00AC0E6B"/>
    <w:rsid w:val="00AC3FB8"/>
    <w:rsid w:val="00AD19E7"/>
    <w:rsid w:val="00AD2DBC"/>
    <w:rsid w:val="00AD3238"/>
    <w:rsid w:val="00AD7804"/>
    <w:rsid w:val="00AD7DF2"/>
    <w:rsid w:val="00AE3E02"/>
    <w:rsid w:val="00AE7F63"/>
    <w:rsid w:val="00B00734"/>
    <w:rsid w:val="00B15BBF"/>
    <w:rsid w:val="00B22321"/>
    <w:rsid w:val="00B36ED3"/>
    <w:rsid w:val="00B45C41"/>
    <w:rsid w:val="00B53F6A"/>
    <w:rsid w:val="00B640EE"/>
    <w:rsid w:val="00B702DD"/>
    <w:rsid w:val="00B7042E"/>
    <w:rsid w:val="00B720B3"/>
    <w:rsid w:val="00B764DD"/>
    <w:rsid w:val="00B82035"/>
    <w:rsid w:val="00B835BA"/>
    <w:rsid w:val="00B8580D"/>
    <w:rsid w:val="00B90BD8"/>
    <w:rsid w:val="00BB5BE2"/>
    <w:rsid w:val="00BB69F2"/>
    <w:rsid w:val="00BC3497"/>
    <w:rsid w:val="00BC3914"/>
    <w:rsid w:val="00BE391D"/>
    <w:rsid w:val="00BE4E30"/>
    <w:rsid w:val="00C009B3"/>
    <w:rsid w:val="00C1677C"/>
    <w:rsid w:val="00C17746"/>
    <w:rsid w:val="00C20A20"/>
    <w:rsid w:val="00C30C90"/>
    <w:rsid w:val="00C32C81"/>
    <w:rsid w:val="00C53596"/>
    <w:rsid w:val="00C62C02"/>
    <w:rsid w:val="00C65C69"/>
    <w:rsid w:val="00C92DCA"/>
    <w:rsid w:val="00CB50BB"/>
    <w:rsid w:val="00CB6724"/>
    <w:rsid w:val="00CC2216"/>
    <w:rsid w:val="00CC27B4"/>
    <w:rsid w:val="00CC460A"/>
    <w:rsid w:val="00CE21D4"/>
    <w:rsid w:val="00CE411B"/>
    <w:rsid w:val="00CF4BF2"/>
    <w:rsid w:val="00CF4FF2"/>
    <w:rsid w:val="00CF5758"/>
    <w:rsid w:val="00D045F0"/>
    <w:rsid w:val="00D05E2A"/>
    <w:rsid w:val="00D15E82"/>
    <w:rsid w:val="00D20A47"/>
    <w:rsid w:val="00D20C7C"/>
    <w:rsid w:val="00D26C32"/>
    <w:rsid w:val="00D425B8"/>
    <w:rsid w:val="00D5020F"/>
    <w:rsid w:val="00D62330"/>
    <w:rsid w:val="00D67CB6"/>
    <w:rsid w:val="00D91E2E"/>
    <w:rsid w:val="00D94EEF"/>
    <w:rsid w:val="00DA2C0B"/>
    <w:rsid w:val="00DB29CB"/>
    <w:rsid w:val="00DD05B3"/>
    <w:rsid w:val="00DD3BEE"/>
    <w:rsid w:val="00DD45D0"/>
    <w:rsid w:val="00DE0585"/>
    <w:rsid w:val="00DE3A35"/>
    <w:rsid w:val="00DE4B9E"/>
    <w:rsid w:val="00DF1796"/>
    <w:rsid w:val="00DF5C02"/>
    <w:rsid w:val="00E03083"/>
    <w:rsid w:val="00E12919"/>
    <w:rsid w:val="00E12BBC"/>
    <w:rsid w:val="00E21256"/>
    <w:rsid w:val="00E2194A"/>
    <w:rsid w:val="00E21A53"/>
    <w:rsid w:val="00E2405E"/>
    <w:rsid w:val="00E25CA3"/>
    <w:rsid w:val="00E31EB1"/>
    <w:rsid w:val="00E32716"/>
    <w:rsid w:val="00E33735"/>
    <w:rsid w:val="00E37D0E"/>
    <w:rsid w:val="00E42B40"/>
    <w:rsid w:val="00E61C3B"/>
    <w:rsid w:val="00E66D04"/>
    <w:rsid w:val="00E701E1"/>
    <w:rsid w:val="00E8740F"/>
    <w:rsid w:val="00E97356"/>
    <w:rsid w:val="00EA5835"/>
    <w:rsid w:val="00EA6E74"/>
    <w:rsid w:val="00EB7052"/>
    <w:rsid w:val="00ED04A1"/>
    <w:rsid w:val="00ED56CE"/>
    <w:rsid w:val="00EE2221"/>
    <w:rsid w:val="00EE3EBF"/>
    <w:rsid w:val="00EE5ADA"/>
    <w:rsid w:val="00EF017C"/>
    <w:rsid w:val="00F00C71"/>
    <w:rsid w:val="00F038E8"/>
    <w:rsid w:val="00F06D01"/>
    <w:rsid w:val="00F07BFD"/>
    <w:rsid w:val="00F16C80"/>
    <w:rsid w:val="00F25F65"/>
    <w:rsid w:val="00F27DA0"/>
    <w:rsid w:val="00F33E00"/>
    <w:rsid w:val="00F4543C"/>
    <w:rsid w:val="00F511C9"/>
    <w:rsid w:val="00F51F12"/>
    <w:rsid w:val="00F53256"/>
    <w:rsid w:val="00F551F0"/>
    <w:rsid w:val="00F606C0"/>
    <w:rsid w:val="00F76D54"/>
    <w:rsid w:val="00F84BB8"/>
    <w:rsid w:val="00F8715F"/>
    <w:rsid w:val="00F9630D"/>
    <w:rsid w:val="00FA2C61"/>
    <w:rsid w:val="00FA5504"/>
    <w:rsid w:val="00FA63D3"/>
    <w:rsid w:val="00FB1C08"/>
    <w:rsid w:val="00FB6A6B"/>
    <w:rsid w:val="00FB71A3"/>
    <w:rsid w:val="00FB79C6"/>
    <w:rsid w:val="00FC62AD"/>
    <w:rsid w:val="00FC6B3F"/>
    <w:rsid w:val="00FD23FD"/>
    <w:rsid w:val="00FE1455"/>
    <w:rsid w:val="00FE20BC"/>
    <w:rsid w:val="00FE69EA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A2D6B"/>
  <w15:chartTrackingRefBased/>
  <w15:docId w15:val="{911D8FC6-8754-45FF-A36E-9AE74AB4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6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Thenmozhi V</dc:creator>
  <cp:keywords/>
  <dc:description/>
  <cp:lastModifiedBy>Thenmozhi V</cp:lastModifiedBy>
  <cp:revision>1</cp:revision>
  <dcterms:created xsi:type="dcterms:W3CDTF">2026-07-14T14:24:00Z</dcterms:created>
  <dcterms:modified xsi:type="dcterms:W3CDTF">2026-07-14T14:25:00Z</dcterms:modified>
</cp:coreProperties>
</file>