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732BC" w14:textId="77777777" w:rsidR="004579D5" w:rsidRPr="009C57D6" w:rsidRDefault="004579D5" w:rsidP="007064E1">
      <w:pPr>
        <w:widowControl w:val="0"/>
        <w:spacing w:after="0" w:line="480" w:lineRule="auto"/>
        <w:contextualSpacing/>
        <w:jc w:val="center"/>
        <w:rPr>
          <w:rFonts w:ascii="Arial" w:hAnsi="Arial" w:cs="Arial"/>
          <w:b/>
          <w:bCs/>
          <w:caps/>
        </w:rPr>
      </w:pPr>
      <w:r w:rsidRPr="009C57D6">
        <w:rPr>
          <w:rFonts w:ascii="Arial" w:hAnsi="Arial" w:cs="Arial"/>
          <w:b/>
          <w:bCs/>
          <w:caps/>
        </w:rPr>
        <w:t>Supplementary material</w:t>
      </w:r>
    </w:p>
    <w:p w14:paraId="1FF221C0" w14:textId="77777777" w:rsidR="004579D5" w:rsidRPr="009C57D6" w:rsidRDefault="004579D5" w:rsidP="007064E1">
      <w:pPr>
        <w:widowControl w:val="0"/>
        <w:spacing w:after="0" w:line="480" w:lineRule="auto"/>
        <w:contextualSpacing/>
        <w:jc w:val="both"/>
        <w:rPr>
          <w:rFonts w:ascii="Arial" w:hAnsi="Arial" w:cs="Arial"/>
          <w:b/>
          <w:bCs/>
        </w:rPr>
      </w:pPr>
    </w:p>
    <w:p w14:paraId="636F2397" w14:textId="77777777" w:rsidR="00BE36AD" w:rsidRPr="008559C7" w:rsidRDefault="00BE36AD" w:rsidP="00BE36AD">
      <w:pPr>
        <w:widowControl w:val="0"/>
        <w:spacing w:after="0" w:line="480" w:lineRule="auto"/>
        <w:contextualSpacing/>
        <w:jc w:val="both"/>
        <w:rPr>
          <w:rFonts w:ascii="Arial" w:hAnsi="Arial" w:cs="Arial"/>
          <w:b/>
          <w:bCs/>
        </w:rPr>
      </w:pPr>
      <w:r w:rsidRPr="008559C7">
        <w:rPr>
          <w:rFonts w:ascii="Arial" w:hAnsi="Arial" w:cs="Arial"/>
          <w:b/>
          <w:bCs/>
        </w:rPr>
        <w:t>Serum per- and polyfluoroalkyl substances levels among young adults at risk for chronic kidney disease of unknown etiology in Nicaragua</w:t>
      </w:r>
    </w:p>
    <w:p w14:paraId="1CD3C459" w14:textId="77777777" w:rsidR="004579D5" w:rsidRPr="007064E1" w:rsidRDefault="004579D5" w:rsidP="007064E1">
      <w:pPr>
        <w:widowControl w:val="0"/>
        <w:spacing w:after="0" w:line="480" w:lineRule="auto"/>
        <w:contextualSpacing/>
        <w:jc w:val="both"/>
        <w:rPr>
          <w:rFonts w:ascii="Arial" w:hAnsi="Arial" w:cs="Arial"/>
        </w:rPr>
      </w:pPr>
    </w:p>
    <w:p w14:paraId="250E304C" w14:textId="77777777" w:rsidR="003D51C1" w:rsidRPr="008559C7" w:rsidRDefault="003D51C1" w:rsidP="003D51C1">
      <w:pPr>
        <w:widowControl w:val="0"/>
        <w:spacing w:after="0" w:line="480" w:lineRule="auto"/>
        <w:contextualSpacing/>
        <w:jc w:val="both"/>
        <w:rPr>
          <w:rFonts w:ascii="Arial" w:hAnsi="Arial" w:cs="Arial"/>
          <w:lang w:val="es-NI"/>
        </w:rPr>
      </w:pPr>
      <w:r w:rsidRPr="008559C7">
        <w:rPr>
          <w:rFonts w:ascii="Arial" w:hAnsi="Arial" w:cs="Arial"/>
          <w:lang w:val="es-NI"/>
        </w:rPr>
        <w:t>Leanne S. Fawkes</w:t>
      </w:r>
      <w:r w:rsidRPr="008559C7">
        <w:rPr>
          <w:rFonts w:ascii="Arial" w:hAnsi="Arial" w:cs="Arial"/>
          <w:vertAlign w:val="superscript"/>
          <w:lang w:val="es-NI"/>
        </w:rPr>
        <w:t>1</w:t>
      </w:r>
      <w:r w:rsidRPr="008559C7">
        <w:rPr>
          <w:rFonts w:ascii="Arial" w:hAnsi="Arial" w:cs="Arial"/>
          <w:lang w:val="es-NI"/>
        </w:rPr>
        <w:t>, Yau Adamu</w:t>
      </w:r>
      <w:r w:rsidRPr="008559C7">
        <w:rPr>
          <w:rFonts w:ascii="Arial" w:hAnsi="Arial" w:cs="Arial"/>
          <w:vertAlign w:val="superscript"/>
          <w:lang w:val="es-NI"/>
        </w:rPr>
        <w:t>1</w:t>
      </w:r>
      <w:r w:rsidRPr="008559C7">
        <w:rPr>
          <w:rFonts w:ascii="Arial" w:hAnsi="Arial" w:cs="Arial"/>
          <w:lang w:val="es-NI"/>
        </w:rPr>
        <w:t>, David Gimeno Ruiz de Porras</w:t>
      </w:r>
      <w:r w:rsidRPr="008559C7">
        <w:rPr>
          <w:rFonts w:ascii="Arial" w:hAnsi="Arial" w:cs="Arial"/>
          <w:vertAlign w:val="superscript"/>
          <w:lang w:val="es-NI"/>
        </w:rPr>
        <w:t>1,2,3</w:t>
      </w:r>
      <w:r w:rsidRPr="008559C7">
        <w:rPr>
          <w:rFonts w:ascii="Arial" w:hAnsi="Arial" w:cs="Arial"/>
          <w:lang w:val="es-NI"/>
        </w:rPr>
        <w:t>, Neil Pearce</w:t>
      </w:r>
      <w:r w:rsidRPr="008559C7">
        <w:rPr>
          <w:rFonts w:ascii="Arial" w:hAnsi="Arial" w:cs="Arial"/>
          <w:vertAlign w:val="superscript"/>
          <w:lang w:val="es-NI"/>
        </w:rPr>
        <w:t>4</w:t>
      </w:r>
      <w:r>
        <w:rPr>
          <w:rFonts w:ascii="Arial" w:hAnsi="Arial" w:cs="Arial"/>
          <w:vertAlign w:val="superscript"/>
          <w:lang w:val="es-NI"/>
        </w:rPr>
        <w:t>,5</w:t>
      </w:r>
      <w:r w:rsidRPr="008559C7">
        <w:rPr>
          <w:rFonts w:ascii="Arial" w:hAnsi="Arial" w:cs="Arial"/>
          <w:lang w:val="es-NI"/>
        </w:rPr>
        <w:t>, Ben Caplin</w:t>
      </w:r>
      <w:r>
        <w:rPr>
          <w:rFonts w:ascii="Arial" w:hAnsi="Arial" w:cs="Arial"/>
          <w:vertAlign w:val="superscript"/>
          <w:lang w:val="es-NI"/>
        </w:rPr>
        <w:t>6</w:t>
      </w:r>
      <w:r w:rsidRPr="008559C7">
        <w:rPr>
          <w:rFonts w:ascii="Arial" w:hAnsi="Arial" w:cs="Arial"/>
          <w:lang w:val="es-NI"/>
        </w:rPr>
        <w:t>, Marvin González-Quiroz</w:t>
      </w:r>
      <w:r w:rsidRPr="008559C7">
        <w:rPr>
          <w:rFonts w:ascii="Arial" w:hAnsi="Arial" w:cs="Arial"/>
          <w:vertAlign w:val="superscript"/>
          <w:lang w:val="es-NI"/>
        </w:rPr>
        <w:t>1,</w:t>
      </w:r>
      <w:r>
        <w:rPr>
          <w:rFonts w:ascii="Arial" w:hAnsi="Arial" w:cs="Arial"/>
          <w:vertAlign w:val="superscript"/>
          <w:lang w:val="es-NI"/>
        </w:rPr>
        <w:t>6</w:t>
      </w:r>
    </w:p>
    <w:p w14:paraId="2C5FA80E" w14:textId="77777777" w:rsidR="003D51C1" w:rsidRPr="008559C7" w:rsidRDefault="003D51C1" w:rsidP="003D51C1">
      <w:pPr>
        <w:widowControl w:val="0"/>
        <w:spacing w:after="0" w:line="480" w:lineRule="auto"/>
        <w:contextualSpacing/>
        <w:jc w:val="both"/>
        <w:rPr>
          <w:rFonts w:ascii="Arial" w:hAnsi="Arial" w:cs="Arial"/>
          <w:lang w:val="es-NI"/>
        </w:rPr>
      </w:pPr>
    </w:p>
    <w:p w14:paraId="6CBEEFC2" w14:textId="77777777" w:rsidR="003D51C1" w:rsidRPr="008559C7" w:rsidRDefault="003D51C1" w:rsidP="003D51C1">
      <w:pPr>
        <w:widowControl w:val="0"/>
        <w:spacing w:after="0" w:line="480" w:lineRule="auto"/>
        <w:ind w:left="270" w:hanging="270"/>
        <w:contextualSpacing/>
        <w:jc w:val="both"/>
        <w:rPr>
          <w:rFonts w:ascii="Arial" w:hAnsi="Arial" w:cs="Arial"/>
          <w:color w:val="212121"/>
        </w:rPr>
      </w:pPr>
      <w:bookmarkStart w:id="0" w:name="_Hlk211529137"/>
      <w:r w:rsidRPr="008559C7">
        <w:rPr>
          <w:rFonts w:ascii="Arial" w:hAnsi="Arial" w:cs="Arial"/>
          <w:color w:val="212121"/>
          <w:highlight w:val="white"/>
          <w:vertAlign w:val="superscript"/>
        </w:rPr>
        <w:t xml:space="preserve">1 </w:t>
      </w:r>
      <w:r w:rsidRPr="008559C7">
        <w:rPr>
          <w:rFonts w:ascii="Arial" w:hAnsi="Arial" w:cs="Arial"/>
          <w:color w:val="212121"/>
          <w:highlight w:val="white"/>
        </w:rPr>
        <w:t xml:space="preserve">Department of Environmental and Occupational Health, Kate Marmion School of Public Health, The University of Texas at San Antonio, TX, USA. </w:t>
      </w:r>
    </w:p>
    <w:p w14:paraId="7400DB09" w14:textId="77777777" w:rsidR="003D51C1" w:rsidRPr="008559C7" w:rsidRDefault="003D51C1" w:rsidP="003D51C1">
      <w:pPr>
        <w:widowControl w:val="0"/>
        <w:spacing w:after="0" w:line="480" w:lineRule="auto"/>
        <w:ind w:left="270" w:hanging="270"/>
        <w:contextualSpacing/>
        <w:jc w:val="both"/>
        <w:rPr>
          <w:rFonts w:ascii="Arial" w:hAnsi="Arial" w:cs="Arial"/>
          <w:color w:val="212121"/>
        </w:rPr>
      </w:pPr>
      <w:r w:rsidRPr="008559C7">
        <w:rPr>
          <w:rFonts w:ascii="Arial" w:hAnsi="Arial" w:cs="Arial"/>
          <w:color w:val="212121"/>
          <w:vertAlign w:val="superscript"/>
        </w:rPr>
        <w:t xml:space="preserve">2 </w:t>
      </w:r>
      <w:r w:rsidRPr="008559C7">
        <w:rPr>
          <w:rFonts w:ascii="Arial" w:hAnsi="Arial" w:cs="Arial"/>
          <w:color w:val="212121"/>
        </w:rPr>
        <w:t xml:space="preserve">Center for Research in Occupational Health, </w:t>
      </w:r>
      <w:proofErr w:type="spellStart"/>
      <w:r w:rsidRPr="008559C7">
        <w:rPr>
          <w:rFonts w:ascii="Arial" w:hAnsi="Arial" w:cs="Arial"/>
          <w:color w:val="212121"/>
        </w:rPr>
        <w:t>Universitat</w:t>
      </w:r>
      <w:proofErr w:type="spellEnd"/>
      <w:r w:rsidRPr="008559C7">
        <w:rPr>
          <w:rFonts w:ascii="Arial" w:hAnsi="Arial" w:cs="Arial"/>
          <w:color w:val="212121"/>
        </w:rPr>
        <w:t xml:space="preserve"> Pompeu Fabra, Barcelona, Spain.</w:t>
      </w:r>
    </w:p>
    <w:p w14:paraId="5FDFE852" w14:textId="77777777" w:rsidR="003D51C1" w:rsidRPr="008559C7" w:rsidRDefault="003D51C1" w:rsidP="003D51C1">
      <w:pPr>
        <w:widowControl w:val="0"/>
        <w:spacing w:after="0" w:line="480" w:lineRule="auto"/>
        <w:ind w:left="270" w:hanging="270"/>
        <w:contextualSpacing/>
        <w:jc w:val="both"/>
        <w:rPr>
          <w:rFonts w:ascii="Arial" w:hAnsi="Arial" w:cs="Arial"/>
          <w:color w:val="212121"/>
          <w:highlight w:val="white"/>
          <w:lang w:val="es-ES"/>
        </w:rPr>
      </w:pPr>
      <w:r w:rsidRPr="008559C7">
        <w:rPr>
          <w:rFonts w:ascii="Arial" w:hAnsi="Arial" w:cs="Arial"/>
          <w:color w:val="212121"/>
          <w:vertAlign w:val="superscript"/>
          <w:lang w:val="es-ES"/>
        </w:rPr>
        <w:t>3</w:t>
      </w:r>
      <w:r w:rsidRPr="008559C7">
        <w:rPr>
          <w:rFonts w:ascii="Arial" w:hAnsi="Arial" w:cs="Arial"/>
          <w:color w:val="212121"/>
          <w:lang w:val="es-ES"/>
        </w:rPr>
        <w:t xml:space="preserve"> CIBER Epidemiología y Salud Pública, Madrid, Spain.</w:t>
      </w:r>
    </w:p>
    <w:p w14:paraId="2BE07BF7" w14:textId="77777777" w:rsidR="003D51C1" w:rsidRDefault="003D51C1" w:rsidP="003D51C1">
      <w:pPr>
        <w:widowControl w:val="0"/>
        <w:spacing w:after="0" w:line="480" w:lineRule="auto"/>
        <w:ind w:left="270" w:hanging="270"/>
        <w:contextualSpacing/>
        <w:jc w:val="both"/>
        <w:rPr>
          <w:rFonts w:ascii="Arial" w:hAnsi="Arial" w:cs="Arial"/>
          <w:color w:val="212121"/>
          <w:highlight w:val="white"/>
        </w:rPr>
      </w:pPr>
      <w:r w:rsidRPr="008559C7">
        <w:rPr>
          <w:rFonts w:ascii="Arial" w:hAnsi="Arial" w:cs="Arial"/>
          <w:color w:val="212121"/>
          <w:highlight w:val="white"/>
          <w:vertAlign w:val="superscript"/>
        </w:rPr>
        <w:t xml:space="preserve">4 </w:t>
      </w:r>
      <w:r w:rsidRPr="008559C7">
        <w:rPr>
          <w:rFonts w:ascii="Arial" w:hAnsi="Arial" w:cs="Arial"/>
          <w:color w:val="212121"/>
          <w:highlight w:val="white"/>
        </w:rPr>
        <w:t>Department of Medical Statistics London School of Hygiene and Tropical Medicine, London, UK.</w:t>
      </w:r>
    </w:p>
    <w:p w14:paraId="5E0074F7" w14:textId="77777777" w:rsidR="003D51C1" w:rsidRPr="008559C7" w:rsidRDefault="003D51C1" w:rsidP="003D51C1">
      <w:pPr>
        <w:widowControl w:val="0"/>
        <w:spacing w:after="0" w:line="480" w:lineRule="auto"/>
        <w:ind w:left="270" w:hanging="270"/>
        <w:contextualSpacing/>
        <w:jc w:val="both"/>
        <w:rPr>
          <w:rFonts w:ascii="Arial" w:hAnsi="Arial" w:cs="Arial"/>
          <w:color w:val="212121"/>
          <w:highlight w:val="white"/>
        </w:rPr>
      </w:pPr>
      <w:r w:rsidRPr="009E2916">
        <w:rPr>
          <w:rFonts w:ascii="Arial" w:hAnsi="Arial" w:cs="Arial"/>
          <w:color w:val="212121"/>
          <w:highlight w:val="white"/>
          <w:vertAlign w:val="superscript"/>
        </w:rPr>
        <w:t>5</w:t>
      </w:r>
      <w:r w:rsidRPr="008559C7">
        <w:rPr>
          <w:rFonts w:ascii="Arial" w:hAnsi="Arial" w:cs="Arial"/>
          <w:color w:val="212121"/>
          <w:highlight w:val="white"/>
        </w:rPr>
        <w:t>Department of Non-Communicable Disease Epidemiology, London School of Hygiene and Tropical Medicine, London, UK.</w:t>
      </w:r>
    </w:p>
    <w:p w14:paraId="52941773" w14:textId="77777777" w:rsidR="003D51C1" w:rsidRPr="008559C7" w:rsidRDefault="003D51C1" w:rsidP="003D51C1">
      <w:pPr>
        <w:widowControl w:val="0"/>
        <w:spacing w:after="0" w:line="480" w:lineRule="auto"/>
        <w:ind w:left="270" w:hanging="27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212121"/>
          <w:highlight w:val="white"/>
          <w:vertAlign w:val="superscript"/>
        </w:rPr>
        <w:t>6</w:t>
      </w:r>
      <w:r w:rsidRPr="008559C7">
        <w:rPr>
          <w:rFonts w:ascii="Arial" w:hAnsi="Arial" w:cs="Arial"/>
          <w:color w:val="212121"/>
          <w:highlight w:val="white"/>
          <w:vertAlign w:val="superscript"/>
        </w:rPr>
        <w:t xml:space="preserve"> </w:t>
      </w:r>
      <w:r w:rsidRPr="008559C7">
        <w:rPr>
          <w:rFonts w:ascii="Arial" w:hAnsi="Arial" w:cs="Arial"/>
          <w:color w:val="212121"/>
          <w:highlight w:val="white"/>
        </w:rPr>
        <w:t>Center for Kidney and Bladder Health, University College, London, UK</w:t>
      </w:r>
      <w:r w:rsidRPr="008559C7">
        <w:rPr>
          <w:rFonts w:ascii="Arial" w:hAnsi="Arial" w:cs="Arial"/>
          <w:color w:val="212121"/>
        </w:rPr>
        <w:t>.</w:t>
      </w:r>
    </w:p>
    <w:bookmarkEnd w:id="0"/>
    <w:p w14:paraId="7067365C" w14:textId="77777777" w:rsidR="004579D5" w:rsidRPr="007064E1" w:rsidRDefault="004579D5" w:rsidP="007064E1">
      <w:pPr>
        <w:widowControl w:val="0"/>
        <w:spacing w:after="0" w:line="480" w:lineRule="auto"/>
        <w:contextualSpacing/>
        <w:jc w:val="both"/>
        <w:rPr>
          <w:rFonts w:ascii="Arial" w:hAnsi="Arial" w:cs="Arial"/>
        </w:rPr>
      </w:pPr>
    </w:p>
    <w:p w14:paraId="429D5365" w14:textId="0907D80D" w:rsidR="004579D5" w:rsidRDefault="004579D5" w:rsidP="007064E1">
      <w:pPr>
        <w:widowControl w:val="0"/>
        <w:spacing w:after="0" w:line="480" w:lineRule="auto"/>
        <w:contextualSpacing/>
        <w:jc w:val="both"/>
        <w:rPr>
          <w:rFonts w:ascii="Arial" w:hAnsi="Arial" w:cs="Arial"/>
        </w:rPr>
      </w:pPr>
      <w:r w:rsidRPr="007064E1">
        <w:rPr>
          <w:rFonts w:ascii="Arial" w:hAnsi="Arial" w:cs="Arial"/>
          <w:b/>
          <w:bCs/>
        </w:rPr>
        <w:t>Correspondence</w:t>
      </w:r>
      <w:r w:rsidRPr="007064E1">
        <w:rPr>
          <w:rFonts w:ascii="Arial" w:hAnsi="Arial" w:cs="Arial"/>
        </w:rPr>
        <w:t xml:space="preserve">: Marvin González-Quiroz, Department of Environmental and Occupational Health, </w:t>
      </w:r>
      <w:r w:rsidR="00070B83">
        <w:rPr>
          <w:rFonts w:ascii="Arial" w:hAnsi="Arial" w:cs="Arial"/>
        </w:rPr>
        <w:t>Kate Marmion</w:t>
      </w:r>
      <w:r w:rsidRPr="007064E1">
        <w:rPr>
          <w:rFonts w:ascii="Arial" w:hAnsi="Arial" w:cs="Arial"/>
        </w:rPr>
        <w:t xml:space="preserve"> School of Public Health, The University of Texas at San Antonio, TX, USA; email: </w:t>
      </w:r>
      <w:hyperlink r:id="rId4" w:history="1">
        <w:r w:rsidR="00AA0C7D" w:rsidRPr="00063F8F">
          <w:rPr>
            <w:rStyle w:val="Hyperlink"/>
            <w:rFonts w:ascii="Arial" w:hAnsi="Arial" w:cs="Arial"/>
          </w:rPr>
          <w:t>gonzalezquir@uthscsa.edu</w:t>
        </w:r>
      </w:hyperlink>
      <w:r w:rsidRPr="007064E1">
        <w:rPr>
          <w:rFonts w:ascii="Arial" w:hAnsi="Arial" w:cs="Arial"/>
        </w:rPr>
        <w:t>.</w:t>
      </w:r>
    </w:p>
    <w:p w14:paraId="357EB8D7" w14:textId="5AA4FCB8" w:rsidR="00BA3D33" w:rsidRPr="00103C7A" w:rsidRDefault="00AA0C7D" w:rsidP="00103C7A">
      <w:pPr>
        <w:widowControl w:val="0"/>
        <w:spacing w:after="0" w:line="48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ORCID: 0000-0002-0093-6357</w:t>
      </w:r>
    </w:p>
    <w:p w14:paraId="75B94BA6" w14:textId="77777777" w:rsidR="00103C7A" w:rsidRDefault="00103C7A" w:rsidP="00E01E18">
      <w:pPr>
        <w:widowControl w:val="0"/>
        <w:spacing w:after="0" w:line="240" w:lineRule="auto"/>
        <w:contextualSpacing/>
        <w:jc w:val="both"/>
        <w:rPr>
          <w:rFonts w:asciiTheme="minorBidi" w:hAnsiTheme="minorBidi"/>
          <w:b/>
          <w:bCs/>
          <w:sz w:val="22"/>
          <w:szCs w:val="22"/>
        </w:rPr>
      </w:pPr>
    </w:p>
    <w:p w14:paraId="412183B5" w14:textId="60981E62" w:rsidR="00B3740B" w:rsidRDefault="004579D5" w:rsidP="00E01E18">
      <w:pPr>
        <w:widowControl w:val="0"/>
        <w:spacing w:after="0" w:line="240" w:lineRule="auto"/>
        <w:contextualSpacing/>
        <w:jc w:val="both"/>
        <w:rPr>
          <w:rFonts w:asciiTheme="minorBidi" w:hAnsiTheme="minorBidi"/>
          <w:b/>
          <w:bCs/>
          <w:sz w:val="22"/>
          <w:szCs w:val="22"/>
        </w:rPr>
      </w:pPr>
      <w:r w:rsidRPr="00BA3D33">
        <w:rPr>
          <w:rFonts w:asciiTheme="minorBidi" w:hAnsiTheme="minorBidi"/>
          <w:b/>
          <w:bCs/>
          <w:sz w:val="22"/>
          <w:szCs w:val="22"/>
        </w:rPr>
        <w:lastRenderedPageBreak/>
        <w:t>Supplementary table</w:t>
      </w:r>
    </w:p>
    <w:p w14:paraId="307B0423" w14:textId="77777777" w:rsidR="00E01E18" w:rsidRDefault="00E01E18" w:rsidP="00E01E18">
      <w:pPr>
        <w:widowControl w:val="0"/>
        <w:spacing w:after="0" w:line="240" w:lineRule="auto"/>
        <w:contextualSpacing/>
        <w:jc w:val="both"/>
        <w:rPr>
          <w:rFonts w:asciiTheme="minorBidi" w:hAnsiTheme="minorBidi"/>
          <w:b/>
          <w:bCs/>
          <w:sz w:val="22"/>
          <w:szCs w:val="22"/>
        </w:rPr>
      </w:pPr>
    </w:p>
    <w:tbl>
      <w:tblPr>
        <w:tblW w:w="10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3083"/>
        <w:gridCol w:w="1417"/>
        <w:gridCol w:w="1419"/>
        <w:gridCol w:w="2181"/>
      </w:tblGrid>
      <w:tr w:rsidR="00BF13CC" w:rsidRPr="00BF13CC" w14:paraId="1C4E95F0" w14:textId="77777777" w:rsidTr="000E3EAF">
        <w:trPr>
          <w:trHeight w:val="20"/>
          <w:jc w:val="center"/>
        </w:trPr>
        <w:tc>
          <w:tcPr>
            <w:tcW w:w="10075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4E2FD6C1" w14:textId="7DBF2C7F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b/>
                <w:bCs/>
                <w:sz w:val="20"/>
                <w:szCs w:val="20"/>
                <w14:ligatures w14:val="none"/>
              </w:rPr>
              <w:t>Table S</w:t>
            </w:r>
            <w:r w:rsidR="00EC72F4">
              <w:rPr>
                <w:rFonts w:ascii="Arial Nova" w:eastAsia="Times New Roman" w:hAnsi="Arial Nova"/>
                <w:b/>
                <w:bCs/>
                <w:sz w:val="20"/>
                <w:szCs w:val="20"/>
                <w14:ligatures w14:val="none"/>
              </w:rPr>
              <w:t>1</w:t>
            </w:r>
            <w:r w:rsidRPr="00BF13CC">
              <w:rPr>
                <w:rFonts w:ascii="Arial Nova" w:eastAsia="Times New Roman" w:hAnsi="Arial Nova"/>
                <w:b/>
                <w:bCs/>
                <w:sz w:val="20"/>
                <w:szCs w:val="20"/>
                <w14:ligatures w14:val="none"/>
              </w:rPr>
              <w:t xml:space="preserve">. </w:t>
            </w:r>
            <w:r w:rsidRPr="00BF13CC">
              <w:rPr>
                <w:rFonts w:ascii="Arial Nova" w:eastAsia="Times New Roman" w:hAnsi="Arial Nova"/>
                <w:sz w:val="20"/>
                <w:szCs w:val="20"/>
                <w14:ligatures w14:val="none"/>
              </w:rPr>
              <w:t xml:space="preserve">PFAS </w:t>
            </w:r>
            <w:proofErr w:type="gramStart"/>
            <w:r w:rsidR="00FB73D0" w:rsidRPr="00BF13CC">
              <w:rPr>
                <w:rFonts w:ascii="Arial Nova" w:eastAsia="Times New Roman" w:hAnsi="Arial Nova"/>
                <w:sz w:val="20"/>
                <w:szCs w:val="20"/>
                <w14:ligatures w14:val="none"/>
              </w:rPr>
              <w:t>detected</w:t>
            </w:r>
            <w:r w:rsidRPr="00BF13CC">
              <w:rPr>
                <w:rFonts w:ascii="Arial Nova" w:eastAsia="Times New Roman" w:hAnsi="Arial Nova"/>
                <w:sz w:val="20"/>
                <w:szCs w:val="20"/>
                <w14:ligatures w14:val="none"/>
              </w:rPr>
              <w:t xml:space="preserve"> </w:t>
            </w:r>
            <w:r w:rsidR="00FB73D0">
              <w:rPr>
                <w:rFonts w:ascii="Arial Nova" w:eastAsia="Times New Roman" w:hAnsi="Arial Nova"/>
                <w:sz w:val="20"/>
                <w:szCs w:val="20"/>
                <w14:ligatures w14:val="none"/>
              </w:rPr>
              <w:t>in</w:t>
            </w:r>
            <w:proofErr w:type="gramEnd"/>
            <w:r w:rsidR="00FB73D0">
              <w:rPr>
                <w:rFonts w:ascii="Arial Nova" w:eastAsia="Times New Roman" w:hAnsi="Arial Nova"/>
                <w:sz w:val="20"/>
                <w:szCs w:val="20"/>
                <w14:ligatures w14:val="none"/>
              </w:rPr>
              <w:t xml:space="preserve"> </w:t>
            </w:r>
            <w:r w:rsidRPr="00BF13CC">
              <w:rPr>
                <w:rFonts w:ascii="Arial Nova" w:eastAsia="Times New Roman" w:hAnsi="Arial Nova"/>
                <w:sz w:val="20"/>
                <w:szCs w:val="20"/>
                <w14:ligatures w14:val="none"/>
              </w:rPr>
              <w:t>serum samples from participants at risk of CKDu.</w:t>
            </w:r>
          </w:p>
        </w:tc>
      </w:tr>
      <w:tr w:rsidR="00BF13CC" w:rsidRPr="00BF13CC" w14:paraId="294F31E2" w14:textId="63FF9872" w:rsidTr="000E3EAF">
        <w:trPr>
          <w:trHeight w:val="20"/>
          <w:jc w:val="center"/>
        </w:trPr>
        <w:tc>
          <w:tcPr>
            <w:tcW w:w="19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9BB8BF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b/>
                <w:bCs/>
                <w:sz w:val="20"/>
                <w:szCs w:val="20"/>
                <w14:ligatures w14:val="none"/>
              </w:rPr>
              <w:t>PFAS family</w:t>
            </w:r>
          </w:p>
        </w:tc>
        <w:tc>
          <w:tcPr>
            <w:tcW w:w="3083" w:type="dxa"/>
            <w:tcBorders>
              <w:top w:val="single" w:sz="4" w:space="0" w:color="auto"/>
            </w:tcBorders>
            <w:noWrap/>
            <w:vAlign w:val="center"/>
          </w:tcPr>
          <w:p w14:paraId="5F0B3F8B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  <w:t>PFAS Name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</w:tcPr>
          <w:p w14:paraId="4D918E43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  <w:t>Abbreviated Name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0B8737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  <w:t>% Detection</w:t>
            </w:r>
          </w:p>
        </w:tc>
        <w:tc>
          <w:tcPr>
            <w:tcW w:w="2181" w:type="dxa"/>
            <w:vAlign w:val="center"/>
          </w:tcPr>
          <w:p w14:paraId="645F7D04" w14:textId="19D144E8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b/>
                <w:bCs/>
                <w:sz w:val="20"/>
                <w:szCs w:val="20"/>
              </w:rPr>
              <w:t>Concentration</w:t>
            </w:r>
            <w:r w:rsidR="00FB73D0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  <w:r w:rsidR="00FB73D0">
              <w:rPr>
                <w:rFonts w:ascii="Arial Nova" w:hAnsi="Arial Nova"/>
                <w:b/>
                <w:bCs/>
                <w:sz w:val="20"/>
                <w:szCs w:val="20"/>
              </w:rPr>
              <w:br/>
              <w:t>among detects</w:t>
            </w:r>
            <w:r w:rsidR="000E3EAF" w:rsidRPr="000E3EAF">
              <w:rPr>
                <w:rFonts w:ascii="Arial Nova" w:hAnsi="Arial Nova"/>
                <w:bCs/>
                <w:sz w:val="20"/>
                <w:szCs w:val="20"/>
              </w:rPr>
              <w:t>*</w:t>
            </w:r>
            <w:r w:rsidR="000E3EAF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="000E3EAF" w:rsidRPr="007064E1">
              <w:rPr>
                <w:rFonts w:asciiTheme="minorBidi" w:hAnsiTheme="minorBidi"/>
                <w:sz w:val="20"/>
                <w:szCs w:val="20"/>
              </w:rPr>
              <w:t>[µg/L (median, range)]</w:t>
            </w:r>
          </w:p>
        </w:tc>
      </w:tr>
      <w:tr w:rsidR="00BF13CC" w:rsidRPr="00BF13CC" w14:paraId="0E37F19E" w14:textId="09954967" w:rsidTr="000E3EAF">
        <w:trPr>
          <w:trHeight w:val="20"/>
          <w:jc w:val="center"/>
        </w:trPr>
        <w:tc>
          <w:tcPr>
            <w:tcW w:w="1975" w:type="dxa"/>
            <w:vMerge w:val="restart"/>
            <w:noWrap/>
            <w:vAlign w:val="center"/>
            <w:hideMark/>
          </w:tcPr>
          <w:p w14:paraId="5E3969F7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Perfluoro-n-carboxylic acids</w:t>
            </w:r>
          </w:p>
        </w:tc>
        <w:tc>
          <w:tcPr>
            <w:tcW w:w="3083" w:type="dxa"/>
            <w:noWrap/>
            <w:vAlign w:val="center"/>
            <w:hideMark/>
          </w:tcPr>
          <w:p w14:paraId="5BA311C7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Perfluoro-n-butanoic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19EDF276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PFBA</w:t>
            </w:r>
          </w:p>
        </w:tc>
        <w:tc>
          <w:tcPr>
            <w:tcW w:w="1419" w:type="dxa"/>
            <w:noWrap/>
            <w:vAlign w:val="center"/>
            <w:hideMark/>
          </w:tcPr>
          <w:p w14:paraId="587B534F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2181" w:type="dxa"/>
            <w:vAlign w:val="center"/>
          </w:tcPr>
          <w:p w14:paraId="0373AB33" w14:textId="39F3ADC6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1.69 (0.26–24.89)</w:t>
            </w:r>
          </w:p>
        </w:tc>
      </w:tr>
      <w:tr w:rsidR="00BF13CC" w:rsidRPr="00BF13CC" w14:paraId="7E26CB33" w14:textId="57C23484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133CEDCD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237B9C2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Perfluoro-n-</w:t>
            </w: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pentanoic</w:t>
            </w:r>
            <w:proofErr w:type="spellEnd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582347DB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PFPeA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5C8890C5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181" w:type="dxa"/>
            <w:vAlign w:val="center"/>
          </w:tcPr>
          <w:p w14:paraId="2893BBE3" w14:textId="68836035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0.36 (0.22–0.361)</w:t>
            </w:r>
          </w:p>
        </w:tc>
      </w:tr>
      <w:tr w:rsidR="00BF13CC" w:rsidRPr="00BF13CC" w14:paraId="202BFEC8" w14:textId="6168D2D0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314E6A79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2857830B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Perfluoro-n-hexanoic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404B03BB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PFHxA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18DAE265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60BE6AEA" w14:textId="1524E92A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3887D792" w14:textId="12DDC9AD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52D9FA13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0F5B865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Perfluoro-n-heptanoic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453C9BFB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PFHpA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4138BBC2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393CA52F" w14:textId="678FF426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764669BE" w14:textId="36FF031F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4E65CA90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3218DDF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Perfluoro-n-octanoic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7F07220A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PFOA</w:t>
            </w:r>
          </w:p>
        </w:tc>
        <w:tc>
          <w:tcPr>
            <w:tcW w:w="1419" w:type="dxa"/>
            <w:noWrap/>
            <w:vAlign w:val="center"/>
            <w:hideMark/>
          </w:tcPr>
          <w:p w14:paraId="4FB1E260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2181" w:type="dxa"/>
            <w:vAlign w:val="center"/>
          </w:tcPr>
          <w:p w14:paraId="364028B9" w14:textId="158AF5F8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2.33 (0.55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10.72)</w:t>
            </w:r>
          </w:p>
        </w:tc>
      </w:tr>
      <w:tr w:rsidR="00BF13CC" w:rsidRPr="00BF13CC" w14:paraId="410102BC" w14:textId="36F8D4AC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06539B4F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5079CDC9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Perfluoro-n-nonanoic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6BD878AD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PFNA</w:t>
            </w:r>
          </w:p>
        </w:tc>
        <w:tc>
          <w:tcPr>
            <w:tcW w:w="1419" w:type="dxa"/>
            <w:noWrap/>
            <w:vAlign w:val="center"/>
            <w:hideMark/>
          </w:tcPr>
          <w:p w14:paraId="6A9A6AD3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2181" w:type="dxa"/>
            <w:vAlign w:val="center"/>
          </w:tcPr>
          <w:p w14:paraId="4D8B0143" w14:textId="2E62A03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1.45 (0.45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3.44)</w:t>
            </w:r>
          </w:p>
        </w:tc>
      </w:tr>
      <w:tr w:rsidR="00BF13CC" w:rsidRPr="00BF13CC" w14:paraId="1ECD235D" w14:textId="3EEEC860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5ED2B738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54CBBFC7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Perfluoro-n-decanoic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2789065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PFDA</w:t>
            </w:r>
          </w:p>
        </w:tc>
        <w:tc>
          <w:tcPr>
            <w:tcW w:w="1419" w:type="dxa"/>
            <w:noWrap/>
            <w:vAlign w:val="center"/>
            <w:hideMark/>
          </w:tcPr>
          <w:p w14:paraId="4EC60C27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2181" w:type="dxa"/>
            <w:vAlign w:val="center"/>
          </w:tcPr>
          <w:p w14:paraId="1A56A54A" w14:textId="2A5178B1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0.99 (0.34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4.23)</w:t>
            </w:r>
          </w:p>
        </w:tc>
      </w:tr>
      <w:tr w:rsidR="00BF13CC" w:rsidRPr="00BF13CC" w14:paraId="18AFE132" w14:textId="6909F54F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3ED26F8A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2A0DE949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Perfluoro-n-undecanoic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72BB5B6D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PFUnDA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18AF507F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2181" w:type="dxa"/>
            <w:vAlign w:val="center"/>
          </w:tcPr>
          <w:p w14:paraId="3D2E979A" w14:textId="37F01199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0.62 (0.15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1.15)</w:t>
            </w:r>
          </w:p>
        </w:tc>
      </w:tr>
      <w:tr w:rsidR="00BF13CC" w:rsidRPr="00BF13CC" w14:paraId="06640669" w14:textId="3FCE348C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2E5EF276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0B8874A8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Perfluoro-n-dodecanoic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0CF0181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PFDoDA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71D7FF24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181" w:type="dxa"/>
            <w:vAlign w:val="center"/>
          </w:tcPr>
          <w:p w14:paraId="62509164" w14:textId="19F64FD8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0.29 (0.12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0.50)</w:t>
            </w:r>
          </w:p>
        </w:tc>
      </w:tr>
      <w:tr w:rsidR="00BF13CC" w:rsidRPr="00BF13CC" w14:paraId="2241A5BD" w14:textId="1EB2CB80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4656A736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05599DE2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Perfluoro-n-tridecanoic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5A0AA3B8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PFTrDA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6537A1A8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742B58CB" w14:textId="271D0C09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45FAF02A" w14:textId="44755A10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4B80193A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0C54B08C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Perfluoro-n-</w:t>
            </w: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tetradecanoic</w:t>
            </w:r>
            <w:proofErr w:type="spellEnd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 acid </w:t>
            </w:r>
          </w:p>
        </w:tc>
        <w:tc>
          <w:tcPr>
            <w:tcW w:w="1417" w:type="dxa"/>
            <w:noWrap/>
            <w:vAlign w:val="center"/>
            <w:hideMark/>
          </w:tcPr>
          <w:p w14:paraId="2805A29C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PFTeDA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7B3BF38A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4ACD87F5" w14:textId="52B159EA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1301E3D2" w14:textId="3F0F2947" w:rsidTr="000E3EAF">
        <w:trPr>
          <w:trHeight w:val="20"/>
          <w:jc w:val="center"/>
        </w:trPr>
        <w:tc>
          <w:tcPr>
            <w:tcW w:w="1975" w:type="dxa"/>
            <w:vMerge w:val="restart"/>
            <w:noWrap/>
            <w:vAlign w:val="center"/>
            <w:hideMark/>
          </w:tcPr>
          <w:p w14:paraId="46DC5EFD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Perfluoro-alkyl-sulfonates</w:t>
            </w:r>
          </w:p>
        </w:tc>
        <w:tc>
          <w:tcPr>
            <w:tcW w:w="3083" w:type="dxa"/>
            <w:noWrap/>
            <w:vAlign w:val="center"/>
            <w:hideMark/>
          </w:tcPr>
          <w:p w14:paraId="0F34E0B0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Potassium perfluoro-1-butanesulfonate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7A9C6C1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PFBS</w:t>
            </w:r>
          </w:p>
        </w:tc>
        <w:tc>
          <w:tcPr>
            <w:tcW w:w="1419" w:type="dxa"/>
            <w:noWrap/>
            <w:vAlign w:val="center"/>
            <w:hideMark/>
          </w:tcPr>
          <w:p w14:paraId="5DEAC7DA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181" w:type="dxa"/>
            <w:vAlign w:val="center"/>
          </w:tcPr>
          <w:p w14:paraId="07C6A896" w14:textId="5A8D5E64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0.18 (0.05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1.74)</w:t>
            </w:r>
          </w:p>
        </w:tc>
      </w:tr>
      <w:tr w:rsidR="00BF13CC" w:rsidRPr="00BF13CC" w14:paraId="236328A4" w14:textId="388D67DD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4A8D98CD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352BBC14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perfluoro-1-pentanesulfonate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69DB094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PFPeS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1300DE77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181" w:type="dxa"/>
            <w:vAlign w:val="center"/>
          </w:tcPr>
          <w:p w14:paraId="4BAF2804" w14:textId="4055C08B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0.07 (0.02–0.14)</w:t>
            </w:r>
          </w:p>
        </w:tc>
      </w:tr>
      <w:tr w:rsidR="00BF13CC" w:rsidRPr="00BF13CC" w14:paraId="4225F34D" w14:textId="70FF074E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2E1AD1E7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55F358D8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Potassium perfluoro-1-hexanesulfonate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73A42CB5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PFHxS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7C541E93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2181" w:type="dxa"/>
            <w:vAlign w:val="center"/>
          </w:tcPr>
          <w:p w14:paraId="0509A7AE" w14:textId="2FF9C80D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0.15 (0.05</w:t>
            </w:r>
            <w:r w:rsidR="00897A40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0.72)</w:t>
            </w:r>
          </w:p>
        </w:tc>
      </w:tr>
      <w:tr w:rsidR="00BF13CC" w:rsidRPr="00BF13CC" w14:paraId="544D75C2" w14:textId="555C1D91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44F39B3A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5096DA22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perfluoro-1-heptanesulfonate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463B30E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PFHpS</w:t>
            </w:r>
            <w:proofErr w:type="spellEnd"/>
          </w:p>
        </w:tc>
        <w:tc>
          <w:tcPr>
            <w:tcW w:w="1419" w:type="dxa"/>
            <w:noWrap/>
            <w:vAlign w:val="center"/>
            <w:hideMark/>
          </w:tcPr>
          <w:p w14:paraId="67D0E77C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2181" w:type="dxa"/>
            <w:vAlign w:val="center"/>
          </w:tcPr>
          <w:p w14:paraId="64B19EF0" w14:textId="38A2A3AF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0.14 (0.06–1.27)</w:t>
            </w:r>
          </w:p>
        </w:tc>
      </w:tr>
      <w:tr w:rsidR="00BF13CC" w:rsidRPr="00BF13CC" w14:paraId="26DE196E" w14:textId="4535B92B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3AAB7B07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5F9B966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Potassium perfluoro-1-octanesulfonate (Linear and Branched) </w:t>
            </w:r>
          </w:p>
        </w:tc>
        <w:tc>
          <w:tcPr>
            <w:tcW w:w="1417" w:type="dxa"/>
            <w:noWrap/>
            <w:vAlign w:val="center"/>
            <w:hideMark/>
          </w:tcPr>
          <w:p w14:paraId="6EE6E076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PFOS</w:t>
            </w:r>
          </w:p>
        </w:tc>
        <w:tc>
          <w:tcPr>
            <w:tcW w:w="1419" w:type="dxa"/>
            <w:noWrap/>
            <w:vAlign w:val="center"/>
            <w:hideMark/>
          </w:tcPr>
          <w:p w14:paraId="2A3DFB4A" w14:textId="78BD160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1</w:t>
            </w:r>
            <w:r w:rsidR="001F5223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00</w:t>
            </w:r>
          </w:p>
        </w:tc>
        <w:tc>
          <w:tcPr>
            <w:tcW w:w="2181" w:type="dxa"/>
            <w:vAlign w:val="center"/>
          </w:tcPr>
          <w:p w14:paraId="52C4A158" w14:textId="34C87A66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4.67 (0.94</w:t>
            </w:r>
            <w:r w:rsidR="00897A40" w:rsidRPr="00BF13CC">
              <w:rPr>
                <w:rFonts w:ascii="Arial Nova" w:hAnsi="Arial Nova"/>
                <w:sz w:val="20"/>
                <w:szCs w:val="20"/>
              </w:rPr>
              <w:t>–</w:t>
            </w:r>
            <w:r w:rsidRPr="00BF13CC">
              <w:rPr>
                <w:rFonts w:ascii="Arial Nova" w:hAnsi="Arial Nova"/>
                <w:sz w:val="20"/>
                <w:szCs w:val="20"/>
              </w:rPr>
              <w:t>74.32)</w:t>
            </w:r>
          </w:p>
        </w:tc>
      </w:tr>
      <w:tr w:rsidR="00BF13CC" w:rsidRPr="00BF13CC" w14:paraId="3F7B3B22" w14:textId="54CF8E81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318258B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70934B4F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perfluoro-1-nonanesulfonate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5DBD112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PFNS</w:t>
            </w:r>
          </w:p>
        </w:tc>
        <w:tc>
          <w:tcPr>
            <w:tcW w:w="1419" w:type="dxa"/>
            <w:noWrap/>
            <w:vAlign w:val="center"/>
            <w:hideMark/>
          </w:tcPr>
          <w:p w14:paraId="3948F8BD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1A8F1E56" w14:textId="3071103D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5DDC9412" w14:textId="04DD1803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75986456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724E210A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perfluoro-1-decanesulfonate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3A5668C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PFDS</w:t>
            </w:r>
          </w:p>
        </w:tc>
        <w:tc>
          <w:tcPr>
            <w:tcW w:w="1419" w:type="dxa"/>
            <w:noWrap/>
            <w:vAlign w:val="center"/>
            <w:hideMark/>
          </w:tcPr>
          <w:p w14:paraId="1FFD9227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2519F212" w14:textId="77618096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6B3A2DB9" w14:textId="5442505A" w:rsidTr="000E3EAF">
        <w:trPr>
          <w:trHeight w:val="20"/>
          <w:jc w:val="center"/>
        </w:trPr>
        <w:tc>
          <w:tcPr>
            <w:tcW w:w="1975" w:type="dxa"/>
            <w:vMerge w:val="restart"/>
            <w:noWrap/>
            <w:vAlign w:val="center"/>
            <w:hideMark/>
          </w:tcPr>
          <w:p w14:paraId="72294F54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Polyfluoro</w:t>
            </w:r>
            <w:proofErr w:type="spellEnd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 (H-substituted)-alkyl-sulfonates</w:t>
            </w:r>
          </w:p>
        </w:tc>
        <w:tc>
          <w:tcPr>
            <w:tcW w:w="3083" w:type="dxa"/>
            <w:noWrap/>
            <w:vAlign w:val="center"/>
            <w:hideMark/>
          </w:tcPr>
          <w:p w14:paraId="35D52CB9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1H,1H,2H,2H-perfluoro-1-hexanesulfonate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4E217B90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4:2 FTS</w:t>
            </w:r>
          </w:p>
        </w:tc>
        <w:tc>
          <w:tcPr>
            <w:tcW w:w="1419" w:type="dxa"/>
            <w:noWrap/>
            <w:vAlign w:val="center"/>
            <w:hideMark/>
          </w:tcPr>
          <w:p w14:paraId="758E32A7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11706881" w14:textId="44540FEF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5DD724F4" w14:textId="29132D64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31F8F23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36700F8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1H,1H,2H,2H-perfluoro-1-octanesulfonate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040F8934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6:2 FTS</w:t>
            </w:r>
          </w:p>
        </w:tc>
        <w:tc>
          <w:tcPr>
            <w:tcW w:w="1419" w:type="dxa"/>
            <w:noWrap/>
            <w:vAlign w:val="center"/>
            <w:hideMark/>
          </w:tcPr>
          <w:p w14:paraId="630F525A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7FF8C89D" w14:textId="02D52F7A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4F191B51" w14:textId="10D3DAF4" w:rsidTr="000E3EAF">
        <w:trPr>
          <w:trHeight w:val="20"/>
          <w:jc w:val="center"/>
        </w:trPr>
        <w:tc>
          <w:tcPr>
            <w:tcW w:w="1975" w:type="dxa"/>
            <w:vMerge/>
            <w:vAlign w:val="center"/>
            <w:hideMark/>
          </w:tcPr>
          <w:p w14:paraId="21B191D0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3083" w:type="dxa"/>
            <w:noWrap/>
            <w:vAlign w:val="center"/>
            <w:hideMark/>
          </w:tcPr>
          <w:p w14:paraId="3433A4FE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Sodium 1H,1H,2H,2H-perfluoro-1-decanesulfonate </w:t>
            </w:r>
          </w:p>
        </w:tc>
        <w:tc>
          <w:tcPr>
            <w:tcW w:w="1417" w:type="dxa"/>
            <w:noWrap/>
            <w:vAlign w:val="center"/>
            <w:hideMark/>
          </w:tcPr>
          <w:p w14:paraId="3C4D623D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8:2 FTS</w:t>
            </w:r>
          </w:p>
        </w:tc>
        <w:tc>
          <w:tcPr>
            <w:tcW w:w="1419" w:type="dxa"/>
            <w:noWrap/>
            <w:vAlign w:val="center"/>
            <w:hideMark/>
          </w:tcPr>
          <w:p w14:paraId="7FBEA050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181" w:type="dxa"/>
            <w:vAlign w:val="center"/>
          </w:tcPr>
          <w:p w14:paraId="42873BB7" w14:textId="1B1B44CC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13.36 (</w:t>
            </w:r>
            <w:r>
              <w:rPr>
                <w:rFonts w:ascii="Arial Nova" w:hAnsi="Arial Nova"/>
                <w:sz w:val="20"/>
                <w:szCs w:val="20"/>
              </w:rPr>
              <w:t>N/A</w:t>
            </w:r>
            <w:r w:rsidR="00897A40" w:rsidRPr="00BF13CC">
              <w:rPr>
                <w:rFonts w:ascii="Arial Nova" w:hAnsi="Arial Nova"/>
                <w:sz w:val="20"/>
                <w:szCs w:val="20"/>
              </w:rPr>
              <w:t>–</w:t>
            </w:r>
            <w:r>
              <w:rPr>
                <w:rFonts w:ascii="Arial Nova" w:hAnsi="Arial Nova"/>
                <w:sz w:val="20"/>
                <w:szCs w:val="20"/>
              </w:rPr>
              <w:t>N/A</w:t>
            </w:r>
            <w:r w:rsidRPr="00BF13CC">
              <w:rPr>
                <w:rFonts w:ascii="Arial Nova" w:hAnsi="Arial Nova"/>
                <w:sz w:val="20"/>
                <w:szCs w:val="20"/>
              </w:rPr>
              <w:t>)</w:t>
            </w:r>
          </w:p>
        </w:tc>
      </w:tr>
      <w:tr w:rsidR="00BF13CC" w:rsidRPr="00BF13CC" w14:paraId="5D92E8A1" w14:textId="0F827825" w:rsidTr="000E3EAF">
        <w:trPr>
          <w:trHeight w:val="20"/>
          <w:jc w:val="center"/>
        </w:trPr>
        <w:tc>
          <w:tcPr>
            <w:tcW w:w="1975" w:type="dxa"/>
            <w:noWrap/>
            <w:vAlign w:val="center"/>
            <w:hideMark/>
          </w:tcPr>
          <w:p w14:paraId="1139CED1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Perfluoro-alkyl-sulfonamides</w:t>
            </w:r>
          </w:p>
        </w:tc>
        <w:tc>
          <w:tcPr>
            <w:tcW w:w="3083" w:type="dxa"/>
            <w:noWrap/>
            <w:vAlign w:val="center"/>
            <w:hideMark/>
          </w:tcPr>
          <w:p w14:paraId="71BFD9FA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Perfluorooctane</w:t>
            </w:r>
            <w:proofErr w:type="spellEnd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 xml:space="preserve"> sulfonamide </w:t>
            </w:r>
          </w:p>
        </w:tc>
        <w:tc>
          <w:tcPr>
            <w:tcW w:w="1417" w:type="dxa"/>
            <w:noWrap/>
            <w:vAlign w:val="center"/>
            <w:hideMark/>
          </w:tcPr>
          <w:p w14:paraId="681A328B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FOSA</w:t>
            </w:r>
          </w:p>
        </w:tc>
        <w:tc>
          <w:tcPr>
            <w:tcW w:w="1419" w:type="dxa"/>
            <w:noWrap/>
            <w:vAlign w:val="center"/>
            <w:hideMark/>
          </w:tcPr>
          <w:p w14:paraId="5011FFE6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vAlign w:val="center"/>
          </w:tcPr>
          <w:p w14:paraId="0C142E5E" w14:textId="5D51B7A1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BF13CC" w14:paraId="4DB77931" w14:textId="77777777" w:rsidTr="000E3EAF">
        <w:trPr>
          <w:trHeight w:val="20"/>
          <w:jc w:val="center"/>
        </w:trPr>
        <w:tc>
          <w:tcPr>
            <w:tcW w:w="19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A41F52" w14:textId="77777777" w:rsidR="00BF13CC" w:rsidRPr="00BF13CC" w:rsidRDefault="00BF13CC" w:rsidP="003236F1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N-substituted perfluoro-1-octanesulfonamidoacetic acid</w:t>
            </w:r>
          </w:p>
        </w:tc>
        <w:tc>
          <w:tcPr>
            <w:tcW w:w="30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525FBC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N-methylperfluoro-1-octanesulfonamidoacetic acid (Linear and Branched)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B2F8C0F" w14:textId="77777777" w:rsidR="00BF13CC" w:rsidRPr="00BF13CC" w:rsidRDefault="00BF13CC" w:rsidP="00BF13CC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MeFOSAA</w:t>
            </w:r>
            <w:proofErr w:type="spellEnd"/>
          </w:p>
        </w:tc>
        <w:tc>
          <w:tcPr>
            <w:tcW w:w="14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A1CF058" w14:textId="77777777" w:rsidR="00BF13CC" w:rsidRPr="00BF13CC" w:rsidRDefault="00BF13CC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vAlign w:val="center"/>
          </w:tcPr>
          <w:p w14:paraId="333D3217" w14:textId="4DE4C5E9" w:rsidR="00BF13CC" w:rsidRPr="00BF13CC" w:rsidRDefault="00897A40" w:rsidP="00BF13CC">
            <w:pPr>
              <w:widowControl w:val="0"/>
              <w:spacing w:after="0" w:line="240" w:lineRule="auto"/>
              <w:jc w:val="center"/>
              <w:rPr>
                <w:rFonts w:ascii="Arial Nova" w:eastAsia="Times New Roman" w:hAnsi="Arial Nova"/>
                <w:color w:val="000000"/>
                <w:sz w:val="20"/>
                <w:szCs w:val="20"/>
                <w14:ligatures w14:val="none"/>
              </w:rPr>
            </w:pPr>
            <w:r w:rsidRPr="00BF13CC">
              <w:rPr>
                <w:rFonts w:ascii="Arial Nova" w:hAnsi="Arial Nova"/>
                <w:sz w:val="20"/>
                <w:szCs w:val="20"/>
              </w:rPr>
              <w:t>–</w:t>
            </w:r>
          </w:p>
        </w:tc>
      </w:tr>
      <w:tr w:rsidR="00BF13CC" w:rsidRPr="000E3EAF" w14:paraId="7B749173" w14:textId="3CA2FFB4" w:rsidTr="000E3EAF">
        <w:trPr>
          <w:trHeight w:val="20"/>
          <w:jc w:val="center"/>
        </w:trPr>
        <w:tc>
          <w:tcPr>
            <w:tcW w:w="10075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0CB76698" w14:textId="57BF22A6" w:rsidR="00BF13CC" w:rsidRPr="000E3EAF" w:rsidRDefault="00FB73D0" w:rsidP="00FB73D0">
            <w:pPr>
              <w:widowControl w:val="0"/>
              <w:spacing w:after="0" w:line="240" w:lineRule="auto"/>
              <w:rPr>
                <w:rFonts w:ascii="Arial Nova" w:eastAsia="Times New Roman" w:hAnsi="Arial Nova"/>
                <w:color w:val="000000"/>
                <w:sz w:val="16"/>
                <w:szCs w:val="16"/>
                <w14:ligatures w14:val="none"/>
              </w:rPr>
            </w:pPr>
            <w:r>
              <w:rPr>
                <w:rFonts w:ascii="Arial Nova" w:eastAsia="Times New Roman" w:hAnsi="Arial Nova"/>
                <w:color w:val="000000"/>
                <w:sz w:val="16"/>
                <w:szCs w:val="16"/>
                <w14:ligatures w14:val="none"/>
              </w:rPr>
              <w:t xml:space="preserve">* </w:t>
            </w:r>
            <w:r w:rsidRPr="00FB73D0">
              <w:rPr>
                <w:rFonts w:ascii="Arial Nova" w:eastAsia="Times New Roman" w:hAnsi="Arial Nova"/>
                <w:color w:val="000000"/>
                <w:sz w:val="16"/>
                <w:szCs w:val="16"/>
                <w14:ligatures w14:val="none"/>
              </w:rPr>
              <w:t>For this table, concentrations below the LOD were not imputed.</w:t>
            </w:r>
          </w:p>
        </w:tc>
      </w:tr>
    </w:tbl>
    <w:p w14:paraId="41FCE30F" w14:textId="77777777" w:rsidR="00BF13CC" w:rsidRPr="007064E1" w:rsidRDefault="00BF13CC" w:rsidP="00BF13CC">
      <w:pPr>
        <w:widowControl w:val="0"/>
        <w:spacing w:after="0" w:line="240" w:lineRule="auto"/>
        <w:rPr>
          <w:rFonts w:asciiTheme="minorBidi" w:hAnsiTheme="minorBidi"/>
          <w:sz w:val="22"/>
          <w:szCs w:val="22"/>
        </w:rPr>
      </w:pPr>
    </w:p>
    <w:p w14:paraId="28F0FA62" w14:textId="77777777" w:rsidR="00BC3F7F" w:rsidRPr="007064E1" w:rsidRDefault="00BC3F7F" w:rsidP="007064E1">
      <w:pPr>
        <w:widowControl w:val="0"/>
        <w:spacing w:after="0" w:line="240" w:lineRule="auto"/>
        <w:rPr>
          <w:rFonts w:asciiTheme="minorBidi" w:hAnsiTheme="minorBidi"/>
          <w:sz w:val="22"/>
          <w:szCs w:val="22"/>
        </w:rPr>
      </w:pPr>
    </w:p>
    <w:sectPr w:rsidR="00BC3F7F" w:rsidRPr="00706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mer J Public Heal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9s5vdt5wa92vevw9pxdfzhfztxffdzws59&quot;&gt;My EndNote Library&lt;record-ids&gt;&lt;item&gt;18&lt;/item&gt;&lt;item&gt;61&lt;/item&gt;&lt;item&gt;316&lt;/item&gt;&lt;item&gt;417&lt;/item&gt;&lt;/record-ids&gt;&lt;/item&gt;&lt;/Libraries&gt;"/>
  </w:docVars>
  <w:rsids>
    <w:rsidRoot w:val="004579D5"/>
    <w:rsid w:val="00002301"/>
    <w:rsid w:val="00025D8D"/>
    <w:rsid w:val="00030372"/>
    <w:rsid w:val="00063DFD"/>
    <w:rsid w:val="000660B5"/>
    <w:rsid w:val="00070B83"/>
    <w:rsid w:val="00090DA1"/>
    <w:rsid w:val="000B124F"/>
    <w:rsid w:val="000C7B3C"/>
    <w:rsid w:val="000D5753"/>
    <w:rsid w:val="000E346E"/>
    <w:rsid w:val="000E3EAF"/>
    <w:rsid w:val="00103C7A"/>
    <w:rsid w:val="00105F11"/>
    <w:rsid w:val="00174A6E"/>
    <w:rsid w:val="001C5861"/>
    <w:rsid w:val="001E5D2D"/>
    <w:rsid w:val="001F5223"/>
    <w:rsid w:val="00210E95"/>
    <w:rsid w:val="002562AC"/>
    <w:rsid w:val="00262B3B"/>
    <w:rsid w:val="00274653"/>
    <w:rsid w:val="00284FC9"/>
    <w:rsid w:val="002D0B2D"/>
    <w:rsid w:val="002D41F8"/>
    <w:rsid w:val="002E53DD"/>
    <w:rsid w:val="00364710"/>
    <w:rsid w:val="003B07EE"/>
    <w:rsid w:val="003B2806"/>
    <w:rsid w:val="003C5DE2"/>
    <w:rsid w:val="003D51C1"/>
    <w:rsid w:val="004220D1"/>
    <w:rsid w:val="004220E7"/>
    <w:rsid w:val="0043339A"/>
    <w:rsid w:val="00441E6D"/>
    <w:rsid w:val="004579D5"/>
    <w:rsid w:val="0047032E"/>
    <w:rsid w:val="004E2483"/>
    <w:rsid w:val="00507B41"/>
    <w:rsid w:val="00545C99"/>
    <w:rsid w:val="005736F8"/>
    <w:rsid w:val="00592203"/>
    <w:rsid w:val="006141E1"/>
    <w:rsid w:val="00636A6B"/>
    <w:rsid w:val="00663DF9"/>
    <w:rsid w:val="006A058E"/>
    <w:rsid w:val="006B4382"/>
    <w:rsid w:val="00701E99"/>
    <w:rsid w:val="007064E1"/>
    <w:rsid w:val="00755B37"/>
    <w:rsid w:val="007764AF"/>
    <w:rsid w:val="007C7B79"/>
    <w:rsid w:val="007E0C72"/>
    <w:rsid w:val="008038D3"/>
    <w:rsid w:val="00803F97"/>
    <w:rsid w:val="00820FA8"/>
    <w:rsid w:val="00844D0C"/>
    <w:rsid w:val="00864083"/>
    <w:rsid w:val="00897A40"/>
    <w:rsid w:val="008A5798"/>
    <w:rsid w:val="008E02A6"/>
    <w:rsid w:val="008E453D"/>
    <w:rsid w:val="008F2131"/>
    <w:rsid w:val="009223E9"/>
    <w:rsid w:val="00926C37"/>
    <w:rsid w:val="0094324E"/>
    <w:rsid w:val="00952BA8"/>
    <w:rsid w:val="009602C7"/>
    <w:rsid w:val="009B5F95"/>
    <w:rsid w:val="009C57D6"/>
    <w:rsid w:val="009E1889"/>
    <w:rsid w:val="00A031EC"/>
    <w:rsid w:val="00A162CE"/>
    <w:rsid w:val="00A276B2"/>
    <w:rsid w:val="00A83843"/>
    <w:rsid w:val="00A95ABF"/>
    <w:rsid w:val="00AA0C7D"/>
    <w:rsid w:val="00AC2D87"/>
    <w:rsid w:val="00AC3655"/>
    <w:rsid w:val="00AC65A7"/>
    <w:rsid w:val="00B228D9"/>
    <w:rsid w:val="00B3740B"/>
    <w:rsid w:val="00B432A2"/>
    <w:rsid w:val="00B47E20"/>
    <w:rsid w:val="00B77D66"/>
    <w:rsid w:val="00B87758"/>
    <w:rsid w:val="00BA3D33"/>
    <w:rsid w:val="00BA4CDE"/>
    <w:rsid w:val="00BC3F7F"/>
    <w:rsid w:val="00BE36AD"/>
    <w:rsid w:val="00BF13CC"/>
    <w:rsid w:val="00C056B9"/>
    <w:rsid w:val="00C12D6E"/>
    <w:rsid w:val="00C53F19"/>
    <w:rsid w:val="00C73AC3"/>
    <w:rsid w:val="00C74BB9"/>
    <w:rsid w:val="00C74E19"/>
    <w:rsid w:val="00C81170"/>
    <w:rsid w:val="00CA2B51"/>
    <w:rsid w:val="00CA632B"/>
    <w:rsid w:val="00CC44A2"/>
    <w:rsid w:val="00CD117C"/>
    <w:rsid w:val="00D249F2"/>
    <w:rsid w:val="00D37DD9"/>
    <w:rsid w:val="00D6254D"/>
    <w:rsid w:val="00D63F7C"/>
    <w:rsid w:val="00D811A3"/>
    <w:rsid w:val="00DD71D2"/>
    <w:rsid w:val="00E01E18"/>
    <w:rsid w:val="00E04553"/>
    <w:rsid w:val="00E112E2"/>
    <w:rsid w:val="00E13400"/>
    <w:rsid w:val="00E17FDF"/>
    <w:rsid w:val="00E35D99"/>
    <w:rsid w:val="00E579BF"/>
    <w:rsid w:val="00E7600D"/>
    <w:rsid w:val="00E87094"/>
    <w:rsid w:val="00E933B8"/>
    <w:rsid w:val="00EC72F4"/>
    <w:rsid w:val="00EE595D"/>
    <w:rsid w:val="00EF1DA9"/>
    <w:rsid w:val="00F421D4"/>
    <w:rsid w:val="00F5015A"/>
    <w:rsid w:val="00F604EA"/>
    <w:rsid w:val="00F75DF6"/>
    <w:rsid w:val="00FA0A89"/>
    <w:rsid w:val="00FB73D0"/>
    <w:rsid w:val="00FF4BE1"/>
    <w:rsid w:val="00FF6B56"/>
    <w:rsid w:val="362C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F70F"/>
  <w15:chartTrackingRefBased/>
  <w15:docId w15:val="{03D3C899-5AAA-478D-954E-898F2A48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D5"/>
  </w:style>
  <w:style w:type="paragraph" w:styleId="Heading1">
    <w:name w:val="heading 1"/>
    <w:basedOn w:val="Normal"/>
    <w:next w:val="Normal"/>
    <w:link w:val="Heading1Char"/>
    <w:uiPriority w:val="9"/>
    <w:qFormat/>
    <w:rsid w:val="00457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D5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4579D5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579D5"/>
    <w:rPr>
      <w:rFonts w:ascii="Aptos" w:hAnsi="Aptos"/>
      <w:noProof/>
    </w:rPr>
  </w:style>
  <w:style w:type="table" w:styleId="TableGrid">
    <w:name w:val="Table Grid"/>
    <w:basedOn w:val="TableNormal"/>
    <w:uiPriority w:val="39"/>
    <w:rsid w:val="00457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579D5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EndNoteBibliographyChar"/>
    <w:link w:val="EndNoteBibliographyTitle"/>
    <w:rsid w:val="004579D5"/>
    <w:rPr>
      <w:rFonts w:ascii="Aptos" w:hAnsi="Aptos"/>
      <w:noProof/>
    </w:rPr>
  </w:style>
  <w:style w:type="paragraph" w:styleId="Revision">
    <w:name w:val="Revision"/>
    <w:hidden/>
    <w:uiPriority w:val="99"/>
    <w:semiHidden/>
    <w:rsid w:val="00BA3D3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05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5F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5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F1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223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nzalezquir@uthscs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3ff14a6-eb6b-4250-b745-21bea66253dc}" enabled="0" method="" siteId="{83ff14a6-eb6b-4250-b745-21bea66253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Health San Antonio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Quiroz, Marvin A</dc:creator>
  <cp:keywords/>
  <dc:description/>
  <cp:lastModifiedBy>Gonzalez Quiroz, Marvin A</cp:lastModifiedBy>
  <cp:revision>8</cp:revision>
  <dcterms:created xsi:type="dcterms:W3CDTF">2026-01-14T16:57:00Z</dcterms:created>
  <dcterms:modified xsi:type="dcterms:W3CDTF">2026-06-13T04:10:00Z</dcterms:modified>
</cp:coreProperties>
</file>