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733" w:rsidRPr="006324E8" w:rsidRDefault="008C5733" w:rsidP="008C5733">
      <w:pPr>
        <w:jc w:val="center"/>
        <w:rPr>
          <w:rFonts w:cs="Arial"/>
          <w:color w:val="FF0000"/>
        </w:rPr>
      </w:pPr>
      <w:bookmarkStart w:id="0" w:name="_GoBack"/>
      <w:bookmarkEnd w:id="0"/>
      <w:r w:rsidRPr="006324E8">
        <w:rPr>
          <w:rFonts w:cs="Arial"/>
          <w:noProof/>
          <w:color w:val="FF0000"/>
          <w:lang w:val="en-IN" w:eastAsia="en-IN"/>
        </w:rPr>
        <w:drawing>
          <wp:inline distT="0" distB="0" distL="0" distR="0" wp14:anchorId="0A2BCE89" wp14:editId="4D9F23FA">
            <wp:extent cx="5210986" cy="5100506"/>
            <wp:effectExtent l="0" t="0" r="0" b="5080"/>
            <wp:docPr id="143739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392929" name=""/>
                    <pic:cNvPicPr/>
                  </pic:nvPicPr>
                  <pic:blipFill>
                    <a:blip r:embed="rId4"/>
                    <a:stretch>
                      <a:fillRect/>
                    </a:stretch>
                  </pic:blipFill>
                  <pic:spPr>
                    <a:xfrm>
                      <a:off x="0" y="0"/>
                      <a:ext cx="5242555" cy="5131406"/>
                    </a:xfrm>
                    <a:prstGeom prst="rect">
                      <a:avLst/>
                    </a:prstGeom>
                  </pic:spPr>
                </pic:pic>
              </a:graphicData>
            </a:graphic>
          </wp:inline>
        </w:drawing>
      </w:r>
      <w:r w:rsidRPr="006324E8" w:rsidDel="00DA5E49">
        <w:rPr>
          <w:rFonts w:cs="Arial"/>
          <w:color w:val="FF0000"/>
        </w:rPr>
        <w:t xml:space="preserve"> </w:t>
      </w:r>
    </w:p>
    <w:p w:rsidR="008C5733" w:rsidRPr="006324E8" w:rsidRDefault="008C5733" w:rsidP="008C5733">
      <w:bookmarkStart w:id="1" w:name="OLE_LINK55"/>
      <w:bookmarkStart w:id="2" w:name="OLE_LINK56"/>
      <w:r w:rsidRPr="006324E8">
        <w:rPr>
          <w:rStyle w:val="Strong"/>
          <w:rFonts w:eastAsiaTheme="majorEastAsia"/>
        </w:rPr>
        <w:t>Figure S1.</w:t>
      </w:r>
      <w:r w:rsidRPr="006324E8">
        <w:rPr>
          <w:i/>
          <w:iCs/>
        </w:rPr>
        <w:t xml:space="preserve"> </w:t>
      </w:r>
      <w:r w:rsidRPr="006324E8">
        <w:rPr>
          <w:rStyle w:val="Emphasis"/>
          <w:rFonts w:eastAsiaTheme="majorEastAsia"/>
        </w:rPr>
        <w:t xml:space="preserve">Representative images showing marker protein expression in </w:t>
      </w:r>
      <w:proofErr w:type="spellStart"/>
      <w:r w:rsidRPr="006324E8">
        <w:rPr>
          <w:rStyle w:val="Emphasis"/>
          <w:rFonts w:eastAsiaTheme="majorEastAsia"/>
        </w:rPr>
        <w:t>PmtHEE</w:t>
      </w:r>
      <w:proofErr w:type="spellEnd"/>
      <w:r w:rsidRPr="006324E8">
        <w:rPr>
          <w:rStyle w:val="Emphasis"/>
          <w:rFonts w:eastAsiaTheme="majorEastAsia"/>
        </w:rPr>
        <w:t xml:space="preserve"> detected by immunofluorescence (IF, upper panels) (A) and immunohistochemistry (IHC, middle panel) (B). FLG (upper left), IVL (upper right), and MKI67 (middle) were analyzed to visualize their spatial distribution within the tissue. Cell nuclei were counterstained with DAPI. Scale bars: 100 µm (IF) and 50 µm (IHC). (C) </w:t>
      </w:r>
      <w:r w:rsidRPr="006324E8">
        <w:rPr>
          <w:rFonts w:cs="Arial"/>
          <w:color w:val="1C1D1E"/>
          <w:shd w:val="clear" w:color="auto" w:fill="FFFFFF"/>
        </w:rPr>
        <w:t>Immunofluorescence analysis of KRT10, KRT14, LOR, and S100B expression in the HEE model without melanocytes. Nuclei are counterstained with DAPI (blue). Scale bar, 50 µm.</w:t>
      </w:r>
      <w:bookmarkEnd w:id="1"/>
      <w:bookmarkEnd w:id="2"/>
    </w:p>
    <w:p w:rsidR="00577C64" w:rsidRDefault="00577C64"/>
    <w:p w:rsidR="008C5733" w:rsidRDefault="008C5733"/>
    <w:p w:rsidR="008C5733" w:rsidRPr="006324E8" w:rsidRDefault="008C5733" w:rsidP="008C5733">
      <w:pPr>
        <w:rPr>
          <w:b/>
          <w:bCs/>
        </w:rPr>
      </w:pPr>
    </w:p>
    <w:p w:rsidR="008C5733" w:rsidRPr="006324E8" w:rsidRDefault="008C5733" w:rsidP="008C5733">
      <w:pPr>
        <w:spacing w:line="278" w:lineRule="auto"/>
        <w:rPr>
          <w:b/>
          <w:bCs/>
        </w:rPr>
      </w:pPr>
      <w:r w:rsidRPr="006324E8">
        <w:rPr>
          <w:b/>
          <w:bCs/>
        </w:rPr>
        <w:br w:type="page"/>
      </w:r>
    </w:p>
    <w:p w:rsidR="008C5733" w:rsidRDefault="008C5733" w:rsidP="008C5733">
      <w:pPr>
        <w:rPr>
          <w:rStyle w:val="Strong"/>
          <w:rFonts w:eastAsiaTheme="majorEastAsia"/>
        </w:rPr>
      </w:pPr>
      <w:r>
        <w:rPr>
          <w:rFonts w:eastAsiaTheme="majorEastAsia"/>
          <w:b/>
          <w:bCs/>
          <w:noProof/>
          <w:lang w:val="en-IN" w:eastAsia="en-IN"/>
          <w14:ligatures w14:val="standardContextual"/>
        </w:rPr>
        <w:lastRenderedPageBreak/>
        <w:drawing>
          <wp:inline distT="0" distB="0" distL="0" distR="0" wp14:anchorId="24623D3B" wp14:editId="67D3D5A0">
            <wp:extent cx="5350933" cy="6676660"/>
            <wp:effectExtent l="0" t="0" r="0" b="3810"/>
            <wp:docPr id="391007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07538" name="Picture 39100753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3349" cy="6729585"/>
                    </a:xfrm>
                    <a:prstGeom prst="rect">
                      <a:avLst/>
                    </a:prstGeom>
                  </pic:spPr>
                </pic:pic>
              </a:graphicData>
            </a:graphic>
          </wp:inline>
        </w:drawing>
      </w:r>
    </w:p>
    <w:p w:rsidR="008C5733" w:rsidRPr="00A5231A" w:rsidRDefault="008C5733" w:rsidP="008C5733">
      <w:pPr>
        <w:rPr>
          <w:rFonts w:cs="Arial"/>
          <w:i/>
          <w:iCs/>
          <w:color w:val="FF0000"/>
        </w:rPr>
      </w:pPr>
      <w:r w:rsidRPr="006324E8">
        <w:rPr>
          <w:rStyle w:val="Strong"/>
          <w:rFonts w:eastAsiaTheme="majorEastAsia"/>
        </w:rPr>
        <w:t>Figure S2.</w:t>
      </w:r>
      <w:r w:rsidRPr="006324E8">
        <w:rPr>
          <w:i/>
          <w:iCs/>
        </w:rPr>
        <w:t xml:space="preserve"> </w:t>
      </w:r>
      <w:r w:rsidRPr="006324E8">
        <w:t xml:space="preserve">(A) </w:t>
      </w:r>
      <w:proofErr w:type="spellStart"/>
      <w:r w:rsidRPr="006324E8">
        <w:rPr>
          <w:rFonts w:cs="Arial"/>
          <w:color w:val="1C1D1E"/>
          <w:shd w:val="clear" w:color="auto" w:fill="FFFFFF"/>
        </w:rPr>
        <w:t>Haematoxylin</w:t>
      </w:r>
      <w:proofErr w:type="spellEnd"/>
      <w:r w:rsidRPr="006324E8">
        <w:rPr>
          <w:rFonts w:cs="Arial"/>
          <w:color w:val="1C1D1E"/>
          <w:shd w:val="clear" w:color="auto" w:fill="FFFFFF"/>
        </w:rPr>
        <w:t xml:space="preserve"> and eosin (H&amp;E) staining of control HSE without melanocytes (left) and </w:t>
      </w:r>
      <w:proofErr w:type="spellStart"/>
      <w:r w:rsidRPr="006324E8">
        <w:rPr>
          <w:rFonts w:cs="Arial"/>
          <w:color w:val="1C1D1E"/>
          <w:shd w:val="clear" w:color="auto" w:fill="FFFFFF"/>
        </w:rPr>
        <w:t>PmtHSE</w:t>
      </w:r>
      <w:proofErr w:type="spellEnd"/>
      <w:r w:rsidRPr="006324E8">
        <w:rPr>
          <w:rFonts w:cs="Arial"/>
          <w:color w:val="1C1D1E"/>
          <w:shd w:val="clear" w:color="auto" w:fill="FFFFFF"/>
        </w:rPr>
        <w:t xml:space="preserve"> (right). (B) Quantification of epidermal thickness from HSE cultures. Significance determined by unpaired two-tailed </w:t>
      </w:r>
      <w:r w:rsidRPr="006324E8">
        <w:rPr>
          <w:rFonts w:cs="Arial"/>
          <w:i/>
          <w:iCs/>
          <w:color w:val="1C1D1E"/>
          <w:shd w:val="clear" w:color="auto" w:fill="FFFFFF"/>
        </w:rPr>
        <w:t>t</w:t>
      </w:r>
      <w:r w:rsidRPr="006324E8">
        <w:rPr>
          <w:rFonts w:cs="Arial"/>
          <w:color w:val="1C1D1E"/>
          <w:shd w:val="clear" w:color="auto" w:fill="FFFFFF"/>
        </w:rPr>
        <w:t xml:space="preserve"> test (***, P &lt; 0.001). (C) </w:t>
      </w:r>
      <w:r w:rsidRPr="006324E8">
        <w:rPr>
          <w:rStyle w:val="Emphasis"/>
          <w:rFonts w:eastAsiaTheme="majorEastAsia"/>
        </w:rPr>
        <w:t xml:space="preserve">Immunofluorescence of KRT14 (upper), KRT10 (middle), and a merged image (bottom). </w:t>
      </w:r>
      <w:r>
        <w:rPr>
          <w:rStyle w:val="Emphasis"/>
          <w:rFonts w:eastAsiaTheme="majorEastAsia"/>
        </w:rPr>
        <w:t xml:space="preserve">(D) </w:t>
      </w:r>
      <w:proofErr w:type="spellStart"/>
      <w:r>
        <w:rPr>
          <w:rStyle w:val="Emphasis"/>
          <w:rFonts w:eastAsiaTheme="majorEastAsia"/>
        </w:rPr>
        <w:t>Immunoflurescence</w:t>
      </w:r>
      <w:proofErr w:type="spellEnd"/>
      <w:r>
        <w:rPr>
          <w:rStyle w:val="Emphasis"/>
          <w:rFonts w:eastAsiaTheme="majorEastAsia"/>
        </w:rPr>
        <w:t xml:space="preserve"> of KRT14 and LOR. </w:t>
      </w:r>
      <w:r w:rsidRPr="006324E8">
        <w:rPr>
          <w:rStyle w:val="Emphasis"/>
          <w:rFonts w:eastAsiaTheme="majorEastAsia"/>
        </w:rPr>
        <w:t>Scale bars: 100 µm (</w:t>
      </w:r>
      <w:r w:rsidRPr="006324E8">
        <w:rPr>
          <w:rFonts w:cs="Arial"/>
          <w:color w:val="1C1D1E"/>
          <w:shd w:val="clear" w:color="auto" w:fill="FFFFFF"/>
        </w:rPr>
        <w:t>H&amp;E</w:t>
      </w:r>
      <w:r w:rsidRPr="006324E8">
        <w:rPr>
          <w:rStyle w:val="Emphasis"/>
          <w:rFonts w:eastAsiaTheme="majorEastAsia"/>
        </w:rPr>
        <w:t>) and 50 µm (IF).</w:t>
      </w:r>
    </w:p>
    <w:p w:rsidR="008C5733" w:rsidRPr="006324E8" w:rsidRDefault="008C5733" w:rsidP="008C5733">
      <w:pPr>
        <w:tabs>
          <w:tab w:val="left" w:pos="1073"/>
        </w:tabs>
        <w:rPr>
          <w:b/>
          <w:bCs/>
        </w:rPr>
      </w:pPr>
      <w:r w:rsidRPr="006324E8">
        <w:rPr>
          <w:b/>
          <w:bCs/>
          <w:noProof/>
          <w:lang w:val="en-IN" w:eastAsia="en-IN"/>
        </w:rPr>
        <w:lastRenderedPageBreak/>
        <w:drawing>
          <wp:inline distT="0" distB="0" distL="0" distR="0" wp14:anchorId="44B7491F" wp14:editId="467CF69D">
            <wp:extent cx="5943600" cy="3794760"/>
            <wp:effectExtent l="0" t="0" r="0" b="2540"/>
            <wp:docPr id="1288269809"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69809" name="Picture 1" descr="A close-up of a graph&#10;&#10;Description automatically generated"/>
                    <pic:cNvPicPr/>
                  </pic:nvPicPr>
                  <pic:blipFill>
                    <a:blip r:embed="rId6"/>
                    <a:stretch>
                      <a:fillRect/>
                    </a:stretch>
                  </pic:blipFill>
                  <pic:spPr>
                    <a:xfrm>
                      <a:off x="0" y="0"/>
                      <a:ext cx="5943600" cy="3794760"/>
                    </a:xfrm>
                    <a:prstGeom prst="rect">
                      <a:avLst/>
                    </a:prstGeom>
                  </pic:spPr>
                </pic:pic>
              </a:graphicData>
            </a:graphic>
          </wp:inline>
        </w:drawing>
      </w:r>
    </w:p>
    <w:p w:rsidR="008C5733" w:rsidRPr="006324E8" w:rsidRDefault="008C5733" w:rsidP="008C5733">
      <w:pPr>
        <w:tabs>
          <w:tab w:val="left" w:pos="1073"/>
        </w:tabs>
        <w:rPr>
          <w:b/>
          <w:bCs/>
        </w:rPr>
      </w:pPr>
      <w:r w:rsidRPr="006324E8">
        <w:rPr>
          <w:b/>
          <w:bCs/>
        </w:rPr>
        <w:t>Figure S3</w:t>
      </w:r>
      <w:r w:rsidRPr="006324E8">
        <w:t>.</w:t>
      </w:r>
      <w:bookmarkStart w:id="3" w:name="OLE_LINK65"/>
      <w:bookmarkStart w:id="4" w:name="OLE_LINK66"/>
      <w:r w:rsidRPr="006324E8">
        <w:t xml:space="preserve"> </w:t>
      </w:r>
      <w:bookmarkStart w:id="5" w:name="OLE_LINK674"/>
      <w:bookmarkStart w:id="6" w:name="OLE_LINK675"/>
      <w:r w:rsidRPr="006324E8">
        <w:t xml:space="preserve">(A, B) Pie charts illustrating the composition of </w:t>
      </w:r>
      <w:proofErr w:type="spellStart"/>
      <w:r w:rsidRPr="006324E8">
        <w:t>scRNA-seq</w:t>
      </w:r>
      <w:proofErr w:type="spellEnd"/>
      <w:r w:rsidRPr="006324E8">
        <w:t xml:space="preserve"> datasets</w:t>
      </w:r>
      <w:bookmarkEnd w:id="5"/>
      <w:bookmarkEnd w:id="6"/>
      <w:r w:rsidRPr="006324E8">
        <w:t xml:space="preserve">. </w:t>
      </w:r>
      <w:bookmarkStart w:id="7" w:name="OLE_LINK67"/>
      <w:bookmarkStart w:id="8" w:name="OLE_LINK68"/>
      <w:r w:rsidRPr="006324E8">
        <w:t xml:space="preserve">(C) Bar plot showing the proportion of annotated cell types and keratinocyte cell states across individual samples, corresponding to </w:t>
      </w:r>
      <w:r w:rsidRPr="006324E8">
        <w:rPr>
          <w:b/>
          <w:bCs/>
        </w:rPr>
        <w:t>Figure 3B</w:t>
      </w:r>
      <w:r w:rsidRPr="006324E8">
        <w:t>.</w:t>
      </w:r>
      <w:bookmarkEnd w:id="7"/>
      <w:bookmarkEnd w:id="8"/>
    </w:p>
    <w:bookmarkEnd w:id="3"/>
    <w:bookmarkEnd w:id="4"/>
    <w:p w:rsidR="008C5733" w:rsidRPr="006324E8" w:rsidRDefault="008C5733" w:rsidP="008C5733">
      <w:pPr>
        <w:tabs>
          <w:tab w:val="left" w:pos="1073"/>
        </w:tabs>
        <w:rPr>
          <w:b/>
          <w:bCs/>
        </w:rPr>
      </w:pPr>
    </w:p>
    <w:p w:rsidR="008C5733" w:rsidRPr="006324E8" w:rsidRDefault="008C5733" w:rsidP="008C5733">
      <w:pPr>
        <w:tabs>
          <w:tab w:val="left" w:pos="1073"/>
        </w:tabs>
        <w:rPr>
          <w:b/>
          <w:bCs/>
        </w:rPr>
      </w:pPr>
    </w:p>
    <w:p w:rsidR="008C5733" w:rsidRPr="006324E8" w:rsidRDefault="008C5733" w:rsidP="008C5733">
      <w:pPr>
        <w:tabs>
          <w:tab w:val="left" w:pos="1073"/>
        </w:tabs>
        <w:rPr>
          <w:b/>
          <w:bCs/>
        </w:rPr>
      </w:pPr>
      <w:r w:rsidRPr="006324E8">
        <w:rPr>
          <w:b/>
          <w:bCs/>
        </w:rPr>
        <w:br w:type="page"/>
      </w:r>
    </w:p>
    <w:p w:rsidR="008C5733" w:rsidRPr="006324E8" w:rsidRDefault="008C5733" w:rsidP="008C5733">
      <w:pPr>
        <w:rPr>
          <w:rFonts w:eastAsia="SimSun"/>
        </w:rPr>
      </w:pPr>
      <w:r w:rsidRPr="006324E8">
        <w:rPr>
          <w:rFonts w:eastAsia="SimSun"/>
          <w:noProof/>
          <w:lang w:val="en-IN" w:eastAsia="en-IN"/>
          <w14:ligatures w14:val="standardContextual"/>
        </w:rPr>
        <w:lastRenderedPageBreak/>
        <w:drawing>
          <wp:inline distT="0" distB="0" distL="0" distR="0" wp14:anchorId="430DC265" wp14:editId="01E782F9">
            <wp:extent cx="5600979" cy="3336053"/>
            <wp:effectExtent l="0" t="0" r="0" b="4445"/>
            <wp:docPr id="729841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41420" name="Picture 7298414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3911" cy="3349712"/>
                    </a:xfrm>
                    <a:prstGeom prst="rect">
                      <a:avLst/>
                    </a:prstGeom>
                  </pic:spPr>
                </pic:pic>
              </a:graphicData>
            </a:graphic>
          </wp:inline>
        </w:drawing>
      </w:r>
    </w:p>
    <w:p w:rsidR="008C5733" w:rsidRPr="006324E8" w:rsidRDefault="008C5733" w:rsidP="008C5733">
      <w:pPr>
        <w:rPr>
          <w:b/>
          <w:bCs/>
        </w:rPr>
      </w:pPr>
      <w:r w:rsidRPr="006324E8">
        <w:rPr>
          <w:rFonts w:eastAsia="SimSun"/>
          <w:b/>
          <w:bCs/>
        </w:rPr>
        <w:t xml:space="preserve">Figure S4. </w:t>
      </w:r>
      <w:r w:rsidRPr="006324E8">
        <w:rPr>
          <w:b/>
          <w:bCs/>
        </w:rPr>
        <w:t>Feature plots showing the expression of canonical skin marker genes across cell populations within the integrated Seurat object.</w:t>
      </w:r>
    </w:p>
    <w:p w:rsidR="008C5733" w:rsidRPr="006324E8" w:rsidRDefault="008C5733" w:rsidP="008C5733">
      <w:pPr>
        <w:rPr>
          <w:rFonts w:eastAsia="SimSun"/>
        </w:rPr>
      </w:pPr>
      <w:r w:rsidRPr="006324E8">
        <w:rPr>
          <w:rFonts w:eastAsia="SimSun"/>
          <w:noProof/>
          <w:lang w:val="en-IN" w:eastAsia="en-IN"/>
        </w:rPr>
        <w:drawing>
          <wp:inline distT="0" distB="0" distL="0" distR="0" wp14:anchorId="69E0E4EB" wp14:editId="73BAEB47">
            <wp:extent cx="5409398" cy="2985572"/>
            <wp:effectExtent l="0" t="0" r="1270" b="0"/>
            <wp:docPr id="1255899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99533" name=""/>
                    <pic:cNvPicPr/>
                  </pic:nvPicPr>
                  <pic:blipFill>
                    <a:blip r:embed="rId8"/>
                    <a:stretch>
                      <a:fillRect/>
                    </a:stretch>
                  </pic:blipFill>
                  <pic:spPr>
                    <a:xfrm>
                      <a:off x="0" y="0"/>
                      <a:ext cx="5423333" cy="2993263"/>
                    </a:xfrm>
                    <a:prstGeom prst="rect">
                      <a:avLst/>
                    </a:prstGeom>
                  </pic:spPr>
                </pic:pic>
              </a:graphicData>
            </a:graphic>
          </wp:inline>
        </w:drawing>
      </w:r>
    </w:p>
    <w:p w:rsidR="008C5733" w:rsidRPr="006324E8" w:rsidRDefault="008C5733" w:rsidP="008C5733">
      <w:r w:rsidRPr="006324E8">
        <w:rPr>
          <w:b/>
          <w:bCs/>
        </w:rPr>
        <w:t xml:space="preserve">Figure S5. </w:t>
      </w:r>
      <w:proofErr w:type="spellStart"/>
      <w:r w:rsidRPr="006324E8">
        <w:rPr>
          <w:b/>
          <w:bCs/>
        </w:rPr>
        <w:t>Pseudotime</w:t>
      </w:r>
      <w:proofErr w:type="spellEnd"/>
      <w:r w:rsidRPr="006324E8">
        <w:rPr>
          <w:b/>
          <w:bCs/>
        </w:rPr>
        <w:t xml:space="preserve"> inference plots showing stable estimates of the underlying cell-level </w:t>
      </w:r>
      <w:proofErr w:type="spellStart"/>
      <w:r w:rsidRPr="006324E8">
        <w:rPr>
          <w:b/>
          <w:bCs/>
        </w:rPr>
        <w:t>pseudotime</w:t>
      </w:r>
      <w:proofErr w:type="spellEnd"/>
      <w:r w:rsidRPr="006324E8">
        <w:rPr>
          <w:b/>
          <w:bCs/>
        </w:rPr>
        <w:t xml:space="preserve"> variable for each lineage. </w:t>
      </w:r>
      <w:r w:rsidRPr="006324E8">
        <w:t xml:space="preserve">Panels display results for (A) </w:t>
      </w:r>
      <w:proofErr w:type="spellStart"/>
      <w:r w:rsidRPr="006324E8">
        <w:t>FsEpi</w:t>
      </w:r>
      <w:proofErr w:type="spellEnd"/>
      <w:r w:rsidRPr="006324E8">
        <w:t xml:space="preserve">, (B) </w:t>
      </w:r>
      <w:proofErr w:type="spellStart"/>
      <w:r w:rsidRPr="006324E8">
        <w:t>PmtHEE</w:t>
      </w:r>
      <w:proofErr w:type="spellEnd"/>
      <w:r w:rsidRPr="006324E8">
        <w:t xml:space="preserve">, and (C) </w:t>
      </w:r>
      <w:proofErr w:type="spellStart"/>
      <w:r w:rsidRPr="006324E8">
        <w:t>FibHSE</w:t>
      </w:r>
      <w:proofErr w:type="spellEnd"/>
      <w:r w:rsidRPr="006324E8">
        <w:t xml:space="preserve"> models.</w:t>
      </w:r>
    </w:p>
    <w:p w:rsidR="008C5733" w:rsidRDefault="008C5733"/>
    <w:p w:rsidR="008C5733" w:rsidRPr="006324E8" w:rsidRDefault="008C5733" w:rsidP="008C5733">
      <w:r w:rsidRPr="006324E8">
        <w:rPr>
          <w:noProof/>
          <w:lang w:val="en-IN" w:eastAsia="en-IN"/>
        </w:rPr>
        <w:lastRenderedPageBreak/>
        <w:drawing>
          <wp:inline distT="0" distB="0" distL="0" distR="0" wp14:anchorId="1A9025F4" wp14:editId="270CB891">
            <wp:extent cx="5943600" cy="4417695"/>
            <wp:effectExtent l="0" t="0" r="0" b="1905"/>
            <wp:docPr id="19348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56354" name=""/>
                    <pic:cNvPicPr/>
                  </pic:nvPicPr>
                  <pic:blipFill>
                    <a:blip r:embed="rId9"/>
                    <a:stretch>
                      <a:fillRect/>
                    </a:stretch>
                  </pic:blipFill>
                  <pic:spPr>
                    <a:xfrm>
                      <a:off x="0" y="0"/>
                      <a:ext cx="5943600" cy="4417695"/>
                    </a:xfrm>
                    <a:prstGeom prst="rect">
                      <a:avLst/>
                    </a:prstGeom>
                  </pic:spPr>
                </pic:pic>
              </a:graphicData>
            </a:graphic>
          </wp:inline>
        </w:drawing>
      </w:r>
    </w:p>
    <w:p w:rsidR="008C5733" w:rsidRPr="006324E8" w:rsidRDefault="008C5733" w:rsidP="008C5733">
      <w:pPr>
        <w:rPr>
          <w:rFonts w:eastAsia="SimSun"/>
          <w:b/>
          <w:bCs/>
        </w:rPr>
      </w:pPr>
      <w:r w:rsidRPr="006324E8">
        <w:rPr>
          <w:rFonts w:eastAsia="SimSun"/>
          <w:b/>
          <w:bCs/>
        </w:rPr>
        <w:t xml:space="preserve">Figure S6. </w:t>
      </w:r>
      <w:r w:rsidRPr="006324E8">
        <w:rPr>
          <w:rFonts w:eastAsia="SimSun"/>
        </w:rPr>
        <w:t xml:space="preserve">(A) </w:t>
      </w:r>
      <w:proofErr w:type="spellStart"/>
      <w:r w:rsidRPr="006324E8">
        <w:rPr>
          <w:rFonts w:eastAsia="SimSun"/>
        </w:rPr>
        <w:t>Heatmap</w:t>
      </w:r>
      <w:proofErr w:type="spellEnd"/>
      <w:r w:rsidRPr="006324E8">
        <w:rPr>
          <w:rFonts w:eastAsia="SimSun"/>
        </w:rPr>
        <w:t xml:space="preserve"> showing the expression levels of components from predicted </w:t>
      </w:r>
      <w:proofErr w:type="spellStart"/>
      <w:r w:rsidRPr="006324E8">
        <w:rPr>
          <w:rFonts w:eastAsia="SimSun"/>
        </w:rPr>
        <w:t>exSigNets</w:t>
      </w:r>
      <w:proofErr w:type="spellEnd"/>
      <w:r w:rsidRPr="006324E8">
        <w:rPr>
          <w:rFonts w:eastAsia="SimSun"/>
        </w:rPr>
        <w:t xml:space="preserve"> derived from selected sources under </w:t>
      </w:r>
      <w:proofErr w:type="spellStart"/>
      <w:r w:rsidRPr="006324E8">
        <w:rPr>
          <w:rFonts w:eastAsia="SimSun"/>
        </w:rPr>
        <w:t>FsEpi</w:t>
      </w:r>
      <w:proofErr w:type="spellEnd"/>
      <w:r w:rsidRPr="006324E8">
        <w:rPr>
          <w:rFonts w:eastAsia="SimSun"/>
        </w:rPr>
        <w:t xml:space="preserve">, </w:t>
      </w:r>
      <w:proofErr w:type="spellStart"/>
      <w:r w:rsidRPr="006324E8">
        <w:rPr>
          <w:rFonts w:eastAsia="SimSun"/>
        </w:rPr>
        <w:t>FibHSE</w:t>
      </w:r>
      <w:proofErr w:type="spellEnd"/>
      <w:r w:rsidRPr="006324E8">
        <w:rPr>
          <w:rFonts w:eastAsia="SimSun"/>
        </w:rPr>
        <w:t xml:space="preserve">, and </w:t>
      </w:r>
      <w:proofErr w:type="spellStart"/>
      <w:r w:rsidRPr="006324E8">
        <w:rPr>
          <w:rFonts w:eastAsia="SimSun"/>
        </w:rPr>
        <w:t>PmtHEE</w:t>
      </w:r>
      <w:proofErr w:type="spellEnd"/>
      <w:r w:rsidRPr="006324E8">
        <w:rPr>
          <w:rFonts w:eastAsia="SimSun"/>
        </w:rPr>
        <w:t xml:space="preserve"> conditions. (B) </w:t>
      </w:r>
      <w:r w:rsidRPr="006324E8">
        <w:t>Functional enrichment analysis of biological processes for</w:t>
      </w:r>
      <w:r w:rsidRPr="006324E8">
        <w:rPr>
          <w:rFonts w:eastAsia="SimSun"/>
          <w:color w:val="000000" w:themeColor="text1"/>
        </w:rPr>
        <w:t xml:space="preserve"> the shared </w:t>
      </w:r>
      <w:r w:rsidRPr="006324E8">
        <w:t>L1CAM-EZR-driven</w:t>
      </w:r>
      <w:r w:rsidRPr="006324E8">
        <w:rPr>
          <w:rFonts w:eastAsia="SimSun"/>
          <w:color w:val="000000" w:themeColor="text1"/>
        </w:rPr>
        <w:t xml:space="preserve"> </w:t>
      </w:r>
      <w:proofErr w:type="spellStart"/>
      <w:r w:rsidRPr="006324E8">
        <w:rPr>
          <w:rFonts w:eastAsia="SimSun"/>
          <w:color w:val="000000" w:themeColor="text1"/>
        </w:rPr>
        <w:t>exSigNet</w:t>
      </w:r>
      <w:proofErr w:type="spellEnd"/>
      <w:r w:rsidRPr="006324E8">
        <w:rPr>
          <w:rFonts w:eastAsia="SimSun"/>
          <w:color w:val="000000" w:themeColor="text1"/>
        </w:rPr>
        <w:t>.</w:t>
      </w:r>
    </w:p>
    <w:p w:rsidR="008C5733" w:rsidRPr="006324E8" w:rsidRDefault="008C5733" w:rsidP="008C5733">
      <w:pPr>
        <w:tabs>
          <w:tab w:val="left" w:pos="1888"/>
        </w:tabs>
      </w:pPr>
    </w:p>
    <w:p w:rsidR="008C5733" w:rsidRPr="006324E8" w:rsidRDefault="008C5733" w:rsidP="008C5733">
      <w:r w:rsidRPr="006324E8">
        <w:rPr>
          <w:noProof/>
          <w:lang w:val="en-IN" w:eastAsia="en-IN"/>
        </w:rPr>
        <w:lastRenderedPageBreak/>
        <w:drawing>
          <wp:inline distT="0" distB="0" distL="0" distR="0" wp14:anchorId="5239F12A" wp14:editId="13E5AF7A">
            <wp:extent cx="5943600" cy="3558540"/>
            <wp:effectExtent l="0" t="0" r="0" b="0"/>
            <wp:docPr id="1421059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059384" name=""/>
                    <pic:cNvPicPr/>
                  </pic:nvPicPr>
                  <pic:blipFill>
                    <a:blip r:embed="rId10"/>
                    <a:stretch>
                      <a:fillRect/>
                    </a:stretch>
                  </pic:blipFill>
                  <pic:spPr>
                    <a:xfrm>
                      <a:off x="0" y="0"/>
                      <a:ext cx="5943600" cy="3558540"/>
                    </a:xfrm>
                    <a:prstGeom prst="rect">
                      <a:avLst/>
                    </a:prstGeom>
                  </pic:spPr>
                </pic:pic>
              </a:graphicData>
            </a:graphic>
          </wp:inline>
        </w:drawing>
      </w:r>
    </w:p>
    <w:p w:rsidR="008C5733" w:rsidRPr="00997ACE" w:rsidRDefault="008C5733" w:rsidP="008C5733">
      <w:pPr>
        <w:rPr>
          <w:b/>
          <w:bCs/>
        </w:rPr>
      </w:pPr>
      <w:r w:rsidRPr="006324E8">
        <w:rPr>
          <w:b/>
          <w:bCs/>
        </w:rPr>
        <w:t xml:space="preserve">Figure S7. Alternative </w:t>
      </w:r>
      <w:proofErr w:type="spellStart"/>
      <w:r w:rsidRPr="006324E8">
        <w:rPr>
          <w:b/>
          <w:bCs/>
        </w:rPr>
        <w:t>exSigNets</w:t>
      </w:r>
      <w:proofErr w:type="spellEnd"/>
      <w:r w:rsidRPr="006324E8">
        <w:rPr>
          <w:b/>
          <w:bCs/>
        </w:rPr>
        <w:t xml:space="preserve"> targeting keratinocytes identified in the </w:t>
      </w:r>
      <w:proofErr w:type="spellStart"/>
      <w:r w:rsidRPr="006324E8">
        <w:rPr>
          <w:b/>
          <w:bCs/>
        </w:rPr>
        <w:t>FibHSE</w:t>
      </w:r>
      <w:proofErr w:type="spellEnd"/>
      <w:r w:rsidRPr="006324E8">
        <w:rPr>
          <w:b/>
          <w:bCs/>
        </w:rPr>
        <w:t xml:space="preserve"> model. </w:t>
      </w:r>
      <w:r w:rsidRPr="006324E8">
        <w:t xml:space="preserve">(A) </w:t>
      </w:r>
      <w:r w:rsidRPr="006324E8">
        <w:rPr>
          <w:rFonts w:eastAsia="SimSun"/>
          <w:color w:val="000000" w:themeColor="text1"/>
        </w:rPr>
        <w:t xml:space="preserve">Violin plot showing the expression of ligand-receptor-transcription factor components from the shared </w:t>
      </w:r>
      <w:r w:rsidRPr="006324E8">
        <w:t>L1CAM-EZR-driven</w:t>
      </w:r>
      <w:r w:rsidRPr="006324E8">
        <w:rPr>
          <w:rFonts w:eastAsia="SimSun"/>
          <w:color w:val="000000" w:themeColor="text1"/>
        </w:rPr>
        <w:t xml:space="preserve"> </w:t>
      </w:r>
      <w:proofErr w:type="spellStart"/>
      <w:r w:rsidRPr="006324E8">
        <w:rPr>
          <w:rFonts w:eastAsia="SimSun"/>
          <w:color w:val="000000" w:themeColor="text1"/>
        </w:rPr>
        <w:t>exSigNet</w:t>
      </w:r>
      <w:proofErr w:type="spellEnd"/>
      <w:r w:rsidRPr="006324E8">
        <w:rPr>
          <w:rFonts w:eastAsia="SimSun"/>
          <w:color w:val="000000" w:themeColor="text1"/>
        </w:rPr>
        <w:t xml:space="preserve">, predicted between </w:t>
      </w:r>
      <w:proofErr w:type="spellStart"/>
      <w:r w:rsidRPr="006324E8">
        <w:rPr>
          <w:rFonts w:eastAsia="SimSun"/>
          <w:color w:val="000000" w:themeColor="text1"/>
        </w:rPr>
        <w:t>FsEpi</w:t>
      </w:r>
      <w:proofErr w:type="spellEnd"/>
      <w:r w:rsidRPr="006324E8">
        <w:rPr>
          <w:rFonts w:eastAsia="SimSun"/>
          <w:color w:val="000000" w:themeColor="text1"/>
        </w:rPr>
        <w:t xml:space="preserve"> and </w:t>
      </w:r>
      <w:proofErr w:type="spellStart"/>
      <w:r w:rsidRPr="006324E8">
        <w:rPr>
          <w:rFonts w:eastAsia="SimSun"/>
          <w:color w:val="000000" w:themeColor="text1"/>
        </w:rPr>
        <w:t>PmtHEE</w:t>
      </w:r>
      <w:proofErr w:type="spellEnd"/>
      <w:r w:rsidRPr="006324E8">
        <w:rPr>
          <w:rFonts w:eastAsia="SimSun"/>
          <w:color w:val="000000" w:themeColor="text1"/>
        </w:rPr>
        <w:t xml:space="preserve">. </w:t>
      </w:r>
      <w:r w:rsidRPr="006324E8">
        <w:t xml:space="preserve">The </w:t>
      </w:r>
      <w:proofErr w:type="spellStart"/>
      <w:r w:rsidRPr="006324E8">
        <w:t>FibHSE</w:t>
      </w:r>
      <w:proofErr w:type="spellEnd"/>
      <w:r w:rsidRPr="006324E8">
        <w:t xml:space="preserve"> model is now included to enable comprehensive comparison across all conditions.</w:t>
      </w:r>
      <w:bookmarkStart w:id="9" w:name="OLE_LINK711"/>
      <w:r w:rsidRPr="006324E8">
        <w:rPr>
          <w:b/>
          <w:bCs/>
        </w:rPr>
        <w:t xml:space="preserve"> </w:t>
      </w:r>
      <w:r w:rsidRPr="006324E8">
        <w:rPr>
          <w:rFonts w:eastAsia="SimSun"/>
          <w:color w:val="000000" w:themeColor="text1"/>
        </w:rPr>
        <w:t xml:space="preserve">(B) </w:t>
      </w:r>
      <w:r w:rsidRPr="006324E8">
        <w:t xml:space="preserve">Functional enrichment analysis of biological processes in keratinocytes from </w:t>
      </w:r>
      <w:proofErr w:type="spellStart"/>
      <w:r w:rsidRPr="006324E8">
        <w:t>FibHSE</w:t>
      </w:r>
      <w:proofErr w:type="spellEnd"/>
      <w:r w:rsidRPr="006324E8">
        <w:t xml:space="preserve"> and </w:t>
      </w:r>
      <w:proofErr w:type="spellStart"/>
      <w:r w:rsidRPr="006324E8">
        <w:t>PmtHEE</w:t>
      </w:r>
      <w:proofErr w:type="spellEnd"/>
      <w:r w:rsidRPr="006324E8">
        <w:t>.</w:t>
      </w:r>
      <w:r w:rsidRPr="006324E8">
        <w:rPr>
          <w:b/>
          <w:bCs/>
        </w:rPr>
        <w:t xml:space="preserve"> </w:t>
      </w:r>
      <w:r w:rsidRPr="006324E8">
        <w:t xml:space="preserve">(C) </w:t>
      </w:r>
      <w:proofErr w:type="spellStart"/>
      <w:r w:rsidRPr="006324E8">
        <w:t>Heatmap</w:t>
      </w:r>
      <w:proofErr w:type="spellEnd"/>
      <w:r w:rsidRPr="006324E8">
        <w:t xml:space="preserve"> showing the expression levels of components within the fibroblast- and environment-specific </w:t>
      </w:r>
      <w:proofErr w:type="spellStart"/>
      <w:r w:rsidRPr="006324E8">
        <w:t>exSigNets</w:t>
      </w:r>
      <w:proofErr w:type="spellEnd"/>
      <w:r w:rsidRPr="006324E8">
        <w:t xml:space="preserve"> identified in the </w:t>
      </w:r>
      <w:proofErr w:type="spellStart"/>
      <w:r w:rsidRPr="006324E8">
        <w:t>FibHSE</w:t>
      </w:r>
      <w:proofErr w:type="spellEnd"/>
      <w:r w:rsidRPr="006324E8">
        <w:t xml:space="preserve"> model. Due to substantial overlap of target genes with those in </w:t>
      </w:r>
      <w:r w:rsidRPr="006324E8">
        <w:rPr>
          <w:b/>
          <w:bCs/>
        </w:rPr>
        <w:t>Figure 6C</w:t>
      </w:r>
      <w:r w:rsidRPr="006324E8">
        <w:t>, only ligand-receptor-</w:t>
      </w:r>
      <w:r w:rsidRPr="006324E8">
        <w:rPr>
          <w:rFonts w:eastAsia="SimSun"/>
          <w:color w:val="000000" w:themeColor="text1"/>
        </w:rPr>
        <w:t>transcription factor</w:t>
      </w:r>
      <w:r w:rsidRPr="006324E8">
        <w:t xml:space="preserve"> components are presented here. Transcription factors shared with the </w:t>
      </w:r>
      <w:proofErr w:type="spellStart"/>
      <w:r w:rsidRPr="006324E8">
        <w:t>FsEpi</w:t>
      </w:r>
      <w:proofErr w:type="spellEnd"/>
      <w:r w:rsidRPr="006324E8">
        <w:t>/</w:t>
      </w:r>
      <w:proofErr w:type="spellStart"/>
      <w:r w:rsidRPr="006324E8">
        <w:t>PmtHEE</w:t>
      </w:r>
      <w:proofErr w:type="spellEnd"/>
      <w:r w:rsidRPr="006324E8">
        <w:t xml:space="preserve">-derived L1CAM-EZR-driven </w:t>
      </w:r>
      <w:proofErr w:type="spellStart"/>
      <w:r w:rsidRPr="006324E8">
        <w:t>exSigNet</w:t>
      </w:r>
      <w:proofErr w:type="spellEnd"/>
      <w:r w:rsidRPr="006324E8">
        <w:t xml:space="preserve"> are highlighted in red. '</w:t>
      </w:r>
      <w:proofErr w:type="spellStart"/>
      <w:r w:rsidRPr="006324E8">
        <w:t>FibHSE_Fib</w:t>
      </w:r>
      <w:proofErr w:type="spellEnd"/>
      <w:r w:rsidRPr="006324E8">
        <w:t xml:space="preserve">' represents ligands derived from fibroblasts in the </w:t>
      </w:r>
      <w:proofErr w:type="spellStart"/>
      <w:r w:rsidRPr="006324E8">
        <w:t>FibHSE</w:t>
      </w:r>
      <w:proofErr w:type="spellEnd"/>
      <w:r w:rsidRPr="006324E8">
        <w:t xml:space="preserve"> model; '</w:t>
      </w:r>
      <w:proofErr w:type="spellStart"/>
      <w:r w:rsidRPr="006324E8">
        <w:t>FibHSE_env</w:t>
      </w:r>
      <w:proofErr w:type="spellEnd"/>
      <w:r w:rsidRPr="006324E8">
        <w:t xml:space="preserve">' refers to ligands from the external environment in the </w:t>
      </w:r>
      <w:proofErr w:type="spellStart"/>
      <w:r w:rsidRPr="006324E8">
        <w:t>FibHSE</w:t>
      </w:r>
      <w:proofErr w:type="spellEnd"/>
      <w:r w:rsidRPr="006324E8">
        <w:t xml:space="preserve"> model. Keratinocytes were used as the target cells in all analyses.</w:t>
      </w:r>
      <w:r w:rsidRPr="006324E8">
        <w:rPr>
          <w:b/>
          <w:bCs/>
        </w:rPr>
        <w:t xml:space="preserve"> </w:t>
      </w:r>
      <w:r w:rsidRPr="006324E8">
        <w:t xml:space="preserve">(D) Schematic illustrating the origin of alternative </w:t>
      </w:r>
      <w:proofErr w:type="spellStart"/>
      <w:r w:rsidRPr="006324E8">
        <w:t>exSigNets</w:t>
      </w:r>
      <w:proofErr w:type="spellEnd"/>
      <w:r w:rsidRPr="006324E8">
        <w:t xml:space="preserve"> in the </w:t>
      </w:r>
      <w:proofErr w:type="spellStart"/>
      <w:r w:rsidRPr="006324E8">
        <w:t>FibHSE</w:t>
      </w:r>
      <w:proofErr w:type="spellEnd"/>
      <w:r w:rsidRPr="006324E8">
        <w:t xml:space="preserve"> model that bypass the L1CAM-EZR-driven </w:t>
      </w:r>
      <w:proofErr w:type="spellStart"/>
      <w:r w:rsidRPr="006324E8">
        <w:t>exSigNet</w:t>
      </w:r>
      <w:proofErr w:type="spellEnd"/>
      <w:r w:rsidRPr="006324E8">
        <w:t xml:space="preserve">, in contrast to the melanocyte-to-keratinocyte signaling observed in </w:t>
      </w:r>
      <w:proofErr w:type="spellStart"/>
      <w:r w:rsidRPr="006324E8">
        <w:t>FsEpi</w:t>
      </w:r>
      <w:proofErr w:type="spellEnd"/>
      <w:r w:rsidRPr="006324E8">
        <w:t xml:space="preserve"> and </w:t>
      </w:r>
      <w:proofErr w:type="spellStart"/>
      <w:r w:rsidRPr="006324E8">
        <w:t>PmtHEE</w:t>
      </w:r>
      <w:proofErr w:type="spellEnd"/>
      <w:r w:rsidRPr="006324E8">
        <w:t>.</w:t>
      </w:r>
      <w:bookmarkEnd w:id="9"/>
    </w:p>
    <w:p w:rsidR="008C5733" w:rsidRDefault="008C5733"/>
    <w:sectPr w:rsidR="008C57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FF1"/>
    <w:rsid w:val="00040F20"/>
    <w:rsid w:val="000442FD"/>
    <w:rsid w:val="000460AE"/>
    <w:rsid w:val="00066A79"/>
    <w:rsid w:val="0006785A"/>
    <w:rsid w:val="000851CB"/>
    <w:rsid w:val="00086F12"/>
    <w:rsid w:val="000C4272"/>
    <w:rsid w:val="000C7B9D"/>
    <w:rsid w:val="000D457B"/>
    <w:rsid w:val="000D741E"/>
    <w:rsid w:val="00144605"/>
    <w:rsid w:val="00161611"/>
    <w:rsid w:val="00176371"/>
    <w:rsid w:val="001A10A6"/>
    <w:rsid w:val="001A278E"/>
    <w:rsid w:val="001C0F54"/>
    <w:rsid w:val="001C6D3F"/>
    <w:rsid w:val="00243656"/>
    <w:rsid w:val="002452BF"/>
    <w:rsid w:val="00246D92"/>
    <w:rsid w:val="002569E7"/>
    <w:rsid w:val="00261EB7"/>
    <w:rsid w:val="00274E8C"/>
    <w:rsid w:val="00281282"/>
    <w:rsid w:val="00287D65"/>
    <w:rsid w:val="002B6916"/>
    <w:rsid w:val="002C6BE2"/>
    <w:rsid w:val="002E5E8B"/>
    <w:rsid w:val="003059BC"/>
    <w:rsid w:val="0037041D"/>
    <w:rsid w:val="003732F1"/>
    <w:rsid w:val="003929CC"/>
    <w:rsid w:val="003C2759"/>
    <w:rsid w:val="003E623B"/>
    <w:rsid w:val="0040286F"/>
    <w:rsid w:val="0041787B"/>
    <w:rsid w:val="00431933"/>
    <w:rsid w:val="00445E22"/>
    <w:rsid w:val="0044602A"/>
    <w:rsid w:val="004505AA"/>
    <w:rsid w:val="00450F86"/>
    <w:rsid w:val="00460E46"/>
    <w:rsid w:val="00471F1F"/>
    <w:rsid w:val="004A5057"/>
    <w:rsid w:val="004B7706"/>
    <w:rsid w:val="004B7E5C"/>
    <w:rsid w:val="004E01F9"/>
    <w:rsid w:val="004E30C0"/>
    <w:rsid w:val="004F43E9"/>
    <w:rsid w:val="005019F9"/>
    <w:rsid w:val="00503E8F"/>
    <w:rsid w:val="005367FB"/>
    <w:rsid w:val="0055069F"/>
    <w:rsid w:val="00565F66"/>
    <w:rsid w:val="00577C64"/>
    <w:rsid w:val="0058651E"/>
    <w:rsid w:val="005B01DA"/>
    <w:rsid w:val="005B6F74"/>
    <w:rsid w:val="005C0954"/>
    <w:rsid w:val="005C0BEA"/>
    <w:rsid w:val="005D3543"/>
    <w:rsid w:val="00602D9B"/>
    <w:rsid w:val="00627A91"/>
    <w:rsid w:val="00630465"/>
    <w:rsid w:val="006509C8"/>
    <w:rsid w:val="00682179"/>
    <w:rsid w:val="00692A87"/>
    <w:rsid w:val="0069338A"/>
    <w:rsid w:val="0069392E"/>
    <w:rsid w:val="00695CCE"/>
    <w:rsid w:val="006A4FD5"/>
    <w:rsid w:val="006B5A33"/>
    <w:rsid w:val="006B7CB0"/>
    <w:rsid w:val="006C1639"/>
    <w:rsid w:val="006C2016"/>
    <w:rsid w:val="006D3A9C"/>
    <w:rsid w:val="006F58D4"/>
    <w:rsid w:val="006F62EA"/>
    <w:rsid w:val="006F774A"/>
    <w:rsid w:val="007156D0"/>
    <w:rsid w:val="00725D0E"/>
    <w:rsid w:val="00726704"/>
    <w:rsid w:val="00741761"/>
    <w:rsid w:val="007418E8"/>
    <w:rsid w:val="00763FE8"/>
    <w:rsid w:val="00780B3D"/>
    <w:rsid w:val="00786F7B"/>
    <w:rsid w:val="007C0751"/>
    <w:rsid w:val="007E4BFA"/>
    <w:rsid w:val="0082236A"/>
    <w:rsid w:val="00854AC8"/>
    <w:rsid w:val="008725AC"/>
    <w:rsid w:val="00895687"/>
    <w:rsid w:val="008C2D43"/>
    <w:rsid w:val="008C5733"/>
    <w:rsid w:val="008C6CF7"/>
    <w:rsid w:val="009018CB"/>
    <w:rsid w:val="00920CDE"/>
    <w:rsid w:val="00932F5D"/>
    <w:rsid w:val="00952023"/>
    <w:rsid w:val="00976B31"/>
    <w:rsid w:val="009A7412"/>
    <w:rsid w:val="009D480C"/>
    <w:rsid w:val="009E1DFF"/>
    <w:rsid w:val="00A22420"/>
    <w:rsid w:val="00A449F3"/>
    <w:rsid w:val="00A57FD3"/>
    <w:rsid w:val="00A71797"/>
    <w:rsid w:val="00A77193"/>
    <w:rsid w:val="00A87888"/>
    <w:rsid w:val="00A9746F"/>
    <w:rsid w:val="00AB007E"/>
    <w:rsid w:val="00AB018C"/>
    <w:rsid w:val="00AB7AAE"/>
    <w:rsid w:val="00AD0D87"/>
    <w:rsid w:val="00AD26A7"/>
    <w:rsid w:val="00AD57CA"/>
    <w:rsid w:val="00AE2791"/>
    <w:rsid w:val="00AF3711"/>
    <w:rsid w:val="00AF43AA"/>
    <w:rsid w:val="00B03DAD"/>
    <w:rsid w:val="00B15D53"/>
    <w:rsid w:val="00B201F7"/>
    <w:rsid w:val="00B3226C"/>
    <w:rsid w:val="00B606D8"/>
    <w:rsid w:val="00B65EC9"/>
    <w:rsid w:val="00B67560"/>
    <w:rsid w:val="00B92256"/>
    <w:rsid w:val="00B94FF1"/>
    <w:rsid w:val="00BA7A6D"/>
    <w:rsid w:val="00BB4C8D"/>
    <w:rsid w:val="00BC7EE9"/>
    <w:rsid w:val="00BD0F4C"/>
    <w:rsid w:val="00BE1BE1"/>
    <w:rsid w:val="00BE4C8B"/>
    <w:rsid w:val="00C107EE"/>
    <w:rsid w:val="00C1194D"/>
    <w:rsid w:val="00C16848"/>
    <w:rsid w:val="00C44958"/>
    <w:rsid w:val="00C45A44"/>
    <w:rsid w:val="00C51F98"/>
    <w:rsid w:val="00C5286B"/>
    <w:rsid w:val="00C62A1E"/>
    <w:rsid w:val="00C67EB0"/>
    <w:rsid w:val="00C737A8"/>
    <w:rsid w:val="00C93D55"/>
    <w:rsid w:val="00CB03E0"/>
    <w:rsid w:val="00CB2158"/>
    <w:rsid w:val="00CC3851"/>
    <w:rsid w:val="00CD4087"/>
    <w:rsid w:val="00CD4671"/>
    <w:rsid w:val="00CD6753"/>
    <w:rsid w:val="00D54516"/>
    <w:rsid w:val="00D679DF"/>
    <w:rsid w:val="00D93846"/>
    <w:rsid w:val="00DA792D"/>
    <w:rsid w:val="00DC3A04"/>
    <w:rsid w:val="00DC4E61"/>
    <w:rsid w:val="00DC615E"/>
    <w:rsid w:val="00DD1199"/>
    <w:rsid w:val="00DE0990"/>
    <w:rsid w:val="00DE2123"/>
    <w:rsid w:val="00DE3F4B"/>
    <w:rsid w:val="00E029FA"/>
    <w:rsid w:val="00E04824"/>
    <w:rsid w:val="00E1482F"/>
    <w:rsid w:val="00E14CA6"/>
    <w:rsid w:val="00E265BB"/>
    <w:rsid w:val="00E37E3C"/>
    <w:rsid w:val="00E93FF7"/>
    <w:rsid w:val="00EA28AC"/>
    <w:rsid w:val="00EA6FE2"/>
    <w:rsid w:val="00EB7E00"/>
    <w:rsid w:val="00EC4F63"/>
    <w:rsid w:val="00ED0712"/>
    <w:rsid w:val="00ED6939"/>
    <w:rsid w:val="00EE20BC"/>
    <w:rsid w:val="00EF0F90"/>
    <w:rsid w:val="00EF63C4"/>
    <w:rsid w:val="00F114DE"/>
    <w:rsid w:val="00F12D6F"/>
    <w:rsid w:val="00F57902"/>
    <w:rsid w:val="00F57D0D"/>
    <w:rsid w:val="00F670D9"/>
    <w:rsid w:val="00F7697E"/>
    <w:rsid w:val="00F85FB1"/>
    <w:rsid w:val="00F90966"/>
    <w:rsid w:val="00F9381F"/>
    <w:rsid w:val="00FA3ED2"/>
    <w:rsid w:val="00FB17B2"/>
    <w:rsid w:val="00FD0581"/>
    <w:rsid w:val="00FE20E7"/>
    <w:rsid w:val="00FE7E61"/>
    <w:rsid w:val="00FF05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470D2-942F-4455-9BA2-B3C63E00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C5733"/>
    <w:rPr>
      <w:b/>
      <w:bCs/>
    </w:rPr>
  </w:style>
  <w:style w:type="character" w:styleId="Emphasis">
    <w:name w:val="Emphasis"/>
    <w:basedOn w:val="DefaultParagraphFont"/>
    <w:uiPriority w:val="20"/>
    <w:qFormat/>
    <w:rsid w:val="008C57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Jenifer T Thambi Durai A</dc:creator>
  <cp:keywords/>
  <dc:description/>
  <cp:lastModifiedBy>Mary Jenifer T Thambi Durai A</cp:lastModifiedBy>
  <cp:revision>2</cp:revision>
  <dcterms:created xsi:type="dcterms:W3CDTF">2026-07-22T07:38:00Z</dcterms:created>
  <dcterms:modified xsi:type="dcterms:W3CDTF">2026-07-22T07:40:00Z</dcterms:modified>
</cp:coreProperties>
</file>