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489" w:rsidRPr="007B3B97" w:rsidRDefault="007B3B97">
      <w:pPr>
        <w:rPr>
          <w:rFonts w:ascii="Times New Roman" w:hAnsi="Times New Roman" w:cs="Times New Roman"/>
          <w:b/>
          <w:sz w:val="28"/>
          <w:szCs w:val="28"/>
        </w:rPr>
      </w:pPr>
      <w:r w:rsidRPr="007B3B97">
        <w:rPr>
          <w:rFonts w:ascii="Times New Roman" w:hAnsi="Times New Roman" w:cs="Times New Roman"/>
          <w:b/>
          <w:sz w:val="28"/>
          <w:szCs w:val="28"/>
        </w:rPr>
        <w:t xml:space="preserve">Supplemental </w:t>
      </w:r>
      <w:r w:rsidR="00D806EE">
        <w:rPr>
          <w:rFonts w:ascii="Times New Roman" w:hAnsi="Times New Roman" w:cs="Times New Roman"/>
          <w:b/>
          <w:sz w:val="28"/>
          <w:szCs w:val="28"/>
        </w:rPr>
        <w:t>Table</w:t>
      </w:r>
      <w:r w:rsidRPr="007B3B97">
        <w:rPr>
          <w:rFonts w:ascii="Times New Roman" w:hAnsi="Times New Roman" w:cs="Times New Roman"/>
          <w:b/>
          <w:sz w:val="28"/>
          <w:szCs w:val="28"/>
        </w:rPr>
        <w:t xml:space="preserve"> 1: Association Between Cancer Type and Anxiety Based on Chi-Square Test</w:t>
      </w:r>
    </w:p>
    <w:tbl>
      <w:tblPr>
        <w:tblW w:w="7470" w:type="dxa"/>
        <w:tblInd w:w="-5" w:type="dxa"/>
        <w:tblLook w:val="04A0" w:firstRow="1" w:lastRow="0" w:firstColumn="1" w:lastColumn="0" w:noHBand="0" w:noVBand="1"/>
      </w:tblPr>
      <w:tblGrid>
        <w:gridCol w:w="3330"/>
        <w:gridCol w:w="3030"/>
        <w:gridCol w:w="1110"/>
      </w:tblGrid>
      <w:tr w:rsidR="007B3B97" w:rsidRPr="007B3B97" w:rsidTr="007B3B97">
        <w:trPr>
          <w:trHeight w:val="300"/>
        </w:trPr>
        <w:tc>
          <w:tcPr>
            <w:tcW w:w="33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3B97" w:rsidRPr="007B3B97" w:rsidRDefault="007B3B97" w:rsidP="007B3B97">
            <w:pPr>
              <w:spacing w:after="0" w:line="240" w:lineRule="auto"/>
              <w:rPr>
                <w:rFonts w:ascii="Times New Roman" w:eastAsia="Times New Roman" w:hAnsi="Times New Roman" w:cs="Times New Roman"/>
                <w:b/>
                <w:bCs/>
                <w:color w:val="000000"/>
                <w:sz w:val="24"/>
                <w:szCs w:val="24"/>
              </w:rPr>
            </w:pPr>
            <w:r w:rsidRPr="007B3B97">
              <w:rPr>
                <w:rFonts w:ascii="Times New Roman" w:eastAsia="Times New Roman" w:hAnsi="Times New Roman" w:cs="Times New Roman"/>
                <w:b/>
                <w:bCs/>
                <w:color w:val="000000"/>
                <w:sz w:val="24"/>
                <w:szCs w:val="24"/>
              </w:rPr>
              <w:t>Cancer type</w:t>
            </w:r>
          </w:p>
        </w:tc>
        <w:tc>
          <w:tcPr>
            <w:tcW w:w="4140" w:type="dxa"/>
            <w:gridSpan w:val="2"/>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b/>
                <w:bCs/>
                <w:color w:val="000000"/>
                <w:sz w:val="24"/>
                <w:szCs w:val="24"/>
              </w:rPr>
            </w:pPr>
            <w:r w:rsidRPr="007B3B97">
              <w:rPr>
                <w:rFonts w:ascii="Times New Roman" w:eastAsia="Times New Roman" w:hAnsi="Times New Roman" w:cs="Times New Roman"/>
                <w:b/>
                <w:bCs/>
                <w:color w:val="000000"/>
                <w:sz w:val="24"/>
                <w:szCs w:val="24"/>
              </w:rPr>
              <w:t>Prevalence of anxiety</w:t>
            </w:r>
            <w:r>
              <w:rPr>
                <w:rFonts w:ascii="Times New Roman" w:eastAsia="Times New Roman" w:hAnsi="Times New Roman" w:cs="Times New Roman"/>
                <w:b/>
                <w:bCs/>
                <w:color w:val="000000"/>
                <w:sz w:val="24"/>
                <w:szCs w:val="24"/>
              </w:rPr>
              <w:t>, GAD ≥ 10</w:t>
            </w:r>
          </w:p>
        </w:tc>
      </w:tr>
      <w:tr w:rsidR="007B3B97" w:rsidRPr="007B3B97" w:rsidTr="007B3B97">
        <w:trPr>
          <w:trHeight w:val="300"/>
        </w:trPr>
        <w:tc>
          <w:tcPr>
            <w:tcW w:w="3330" w:type="dxa"/>
            <w:vMerge/>
            <w:tcBorders>
              <w:top w:val="single" w:sz="4" w:space="0" w:color="auto"/>
              <w:left w:val="single" w:sz="4" w:space="0" w:color="auto"/>
              <w:bottom w:val="single" w:sz="4" w:space="0" w:color="auto"/>
              <w:right w:val="single" w:sz="4" w:space="0" w:color="auto"/>
            </w:tcBorders>
            <w:vAlign w:val="center"/>
            <w:hideMark/>
          </w:tcPr>
          <w:p w:rsidR="007B3B97" w:rsidRPr="007B3B97" w:rsidRDefault="007B3B97" w:rsidP="007B3B97">
            <w:pPr>
              <w:spacing w:after="0" w:line="240" w:lineRule="auto"/>
              <w:rPr>
                <w:rFonts w:ascii="Times New Roman" w:eastAsia="Times New Roman" w:hAnsi="Times New Roman" w:cs="Times New Roman"/>
                <w:b/>
                <w:bCs/>
                <w:color w:val="000000"/>
                <w:sz w:val="24"/>
                <w:szCs w:val="24"/>
              </w:rPr>
            </w:pPr>
          </w:p>
        </w:tc>
        <w:tc>
          <w:tcPr>
            <w:tcW w:w="3030" w:type="dxa"/>
            <w:tcBorders>
              <w:top w:val="nil"/>
              <w:left w:val="nil"/>
              <w:bottom w:val="single" w:sz="4" w:space="0" w:color="auto"/>
              <w:right w:val="single" w:sz="4" w:space="0" w:color="auto"/>
            </w:tcBorders>
            <w:shd w:val="clear" w:color="auto" w:fill="auto"/>
            <w:noWrap/>
            <w:vAlign w:val="center"/>
            <w:hideMark/>
          </w:tcPr>
          <w:p w:rsidR="007B3B97" w:rsidRPr="007B3B97" w:rsidRDefault="007B3B97" w:rsidP="007B3B97">
            <w:pPr>
              <w:spacing w:after="0" w:line="240" w:lineRule="auto"/>
              <w:jc w:val="center"/>
              <w:rPr>
                <w:rFonts w:ascii="Times New Roman" w:eastAsia="Times New Roman" w:hAnsi="Times New Roman" w:cs="Times New Roman"/>
                <w:b/>
                <w:bCs/>
                <w:color w:val="000000"/>
                <w:sz w:val="24"/>
                <w:szCs w:val="24"/>
              </w:rPr>
            </w:pPr>
            <w:r w:rsidRPr="007B3B97">
              <w:rPr>
                <w:rFonts w:ascii="Times New Roman" w:eastAsia="Times New Roman" w:hAnsi="Times New Roman" w:cs="Times New Roman"/>
                <w:b/>
                <w:bCs/>
                <w:color w:val="000000"/>
                <w:sz w:val="24"/>
                <w:szCs w:val="24"/>
              </w:rPr>
              <w:t>n (row%)</w:t>
            </w:r>
          </w:p>
        </w:tc>
        <w:tc>
          <w:tcPr>
            <w:tcW w:w="1110" w:type="dxa"/>
            <w:tcBorders>
              <w:top w:val="nil"/>
              <w:left w:val="nil"/>
              <w:bottom w:val="single" w:sz="4" w:space="0" w:color="auto"/>
              <w:right w:val="single" w:sz="4" w:space="0" w:color="auto"/>
            </w:tcBorders>
            <w:shd w:val="clear" w:color="auto" w:fill="auto"/>
            <w:noWrap/>
            <w:vAlign w:val="center"/>
            <w:hideMark/>
          </w:tcPr>
          <w:p w:rsidR="007B3B97" w:rsidRPr="007B3B97" w:rsidRDefault="007B3B97" w:rsidP="007B3B97">
            <w:pPr>
              <w:spacing w:after="0" w:line="240" w:lineRule="auto"/>
              <w:jc w:val="center"/>
              <w:rPr>
                <w:rFonts w:ascii="Times New Roman" w:eastAsia="Times New Roman" w:hAnsi="Times New Roman" w:cs="Times New Roman"/>
                <w:b/>
                <w:bCs/>
                <w:i/>
                <w:iCs/>
                <w:color w:val="000000"/>
                <w:sz w:val="24"/>
                <w:szCs w:val="24"/>
              </w:rPr>
            </w:pPr>
            <w:r w:rsidRPr="007B3B97">
              <w:rPr>
                <w:rFonts w:ascii="Times New Roman" w:eastAsia="Times New Roman" w:hAnsi="Times New Roman" w:cs="Times New Roman"/>
                <w:b/>
                <w:bCs/>
                <w:i/>
                <w:iCs/>
                <w:color w:val="000000"/>
                <w:sz w:val="24"/>
                <w:szCs w:val="24"/>
              </w:rPr>
              <w:t>p-value</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Head &amp; neck </w:t>
            </w:r>
            <w:r w:rsidRPr="007B3B97">
              <w:rPr>
                <w:rFonts w:ascii="Times New Roman" w:eastAsia="Times New Roman" w:hAnsi="Times New Roman" w:cs="Times New Roman"/>
                <w:i/>
                <w:iCs/>
                <w:color w:val="000000"/>
                <w:sz w:val="24"/>
                <w:szCs w:val="24"/>
              </w:rPr>
              <w:t>(n=16)</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6 (37.50)</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0.791</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Lung </w:t>
            </w:r>
            <w:r w:rsidRPr="007B3B97">
              <w:rPr>
                <w:rFonts w:ascii="Times New Roman" w:eastAsia="Times New Roman" w:hAnsi="Times New Roman" w:cs="Times New Roman"/>
                <w:i/>
                <w:iCs/>
                <w:color w:val="000000"/>
                <w:sz w:val="24"/>
                <w:szCs w:val="24"/>
              </w:rPr>
              <w:t>(n=51)</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8 (15.69)</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0.003</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Breast </w:t>
            </w:r>
            <w:r w:rsidRPr="007B3B97">
              <w:rPr>
                <w:rFonts w:ascii="Times New Roman" w:eastAsia="Times New Roman" w:hAnsi="Times New Roman" w:cs="Times New Roman"/>
                <w:i/>
                <w:iCs/>
                <w:color w:val="000000"/>
                <w:sz w:val="24"/>
                <w:szCs w:val="24"/>
              </w:rPr>
              <w:t>(n=101)</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44 (43.56)</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0.022</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Hepatobiliary </w:t>
            </w:r>
            <w:r w:rsidRPr="007B3B97">
              <w:rPr>
                <w:rFonts w:ascii="Times New Roman" w:eastAsia="Times New Roman" w:hAnsi="Times New Roman" w:cs="Times New Roman"/>
                <w:i/>
                <w:iCs/>
                <w:color w:val="000000"/>
                <w:sz w:val="24"/>
                <w:szCs w:val="24"/>
              </w:rPr>
              <w:t>(n=16)</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10 (62.50)</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0.028</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Gastrointestinal </w:t>
            </w:r>
            <w:r w:rsidRPr="007B3B97">
              <w:rPr>
                <w:rFonts w:ascii="Times New Roman" w:eastAsia="Times New Roman" w:hAnsi="Times New Roman" w:cs="Times New Roman"/>
                <w:i/>
                <w:iCs/>
                <w:color w:val="000000"/>
                <w:sz w:val="24"/>
                <w:szCs w:val="24"/>
              </w:rPr>
              <w:t>(n=48)</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24 (50.00)</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0.014</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Prostate </w:t>
            </w:r>
            <w:r w:rsidRPr="007B3B97">
              <w:rPr>
                <w:rFonts w:ascii="Times New Roman" w:eastAsia="Times New Roman" w:hAnsi="Times New Roman" w:cs="Times New Roman"/>
                <w:i/>
                <w:iCs/>
                <w:color w:val="000000"/>
                <w:sz w:val="24"/>
                <w:szCs w:val="24"/>
              </w:rPr>
              <w:t>(n=8)</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2 (25.00)</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0.721</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Kidney and urinary tract </w:t>
            </w:r>
            <w:r w:rsidRPr="007B3B97">
              <w:rPr>
                <w:rFonts w:ascii="Times New Roman" w:eastAsia="Times New Roman" w:hAnsi="Times New Roman" w:cs="Times New Roman"/>
                <w:i/>
                <w:iCs/>
                <w:color w:val="000000"/>
                <w:sz w:val="24"/>
                <w:szCs w:val="24"/>
              </w:rPr>
              <w:t>(n=25)</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12 (48.00)</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0.135</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Colorectal </w:t>
            </w:r>
            <w:r w:rsidRPr="007B3B97">
              <w:rPr>
                <w:rFonts w:ascii="Times New Roman" w:eastAsia="Times New Roman" w:hAnsi="Times New Roman" w:cs="Times New Roman"/>
                <w:i/>
                <w:iCs/>
                <w:color w:val="000000"/>
                <w:sz w:val="24"/>
                <w:szCs w:val="24"/>
              </w:rPr>
              <w:t>(n=50)</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18 (36.00)</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0.767</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Ovary and Endometrial </w:t>
            </w:r>
            <w:r w:rsidRPr="007B3B97">
              <w:rPr>
                <w:rFonts w:ascii="Times New Roman" w:eastAsia="Times New Roman" w:hAnsi="Times New Roman" w:cs="Times New Roman"/>
                <w:i/>
                <w:iCs/>
                <w:color w:val="000000"/>
                <w:sz w:val="24"/>
                <w:szCs w:val="24"/>
              </w:rPr>
              <w:t>(n=23)</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2 (8.70)</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0.691</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Cervical </w:t>
            </w:r>
            <w:r w:rsidRPr="007B3B97">
              <w:rPr>
                <w:rFonts w:ascii="Times New Roman" w:eastAsia="Times New Roman" w:hAnsi="Times New Roman" w:cs="Times New Roman"/>
                <w:i/>
                <w:iCs/>
                <w:color w:val="000000"/>
                <w:sz w:val="24"/>
                <w:szCs w:val="24"/>
              </w:rPr>
              <w:t>(n=12)</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2 (16.67)</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0.234</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Lymphoma </w:t>
            </w:r>
            <w:r w:rsidRPr="007B3B97">
              <w:rPr>
                <w:rFonts w:ascii="Times New Roman" w:eastAsia="Times New Roman" w:hAnsi="Times New Roman" w:cs="Times New Roman"/>
                <w:i/>
                <w:iCs/>
                <w:color w:val="000000"/>
                <w:sz w:val="24"/>
                <w:szCs w:val="24"/>
              </w:rPr>
              <w:t>(n=46)</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6 (13.04)</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0.001</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Leukemia </w:t>
            </w:r>
            <w:r w:rsidRPr="007B3B97">
              <w:rPr>
                <w:rFonts w:ascii="Times New Roman" w:eastAsia="Times New Roman" w:hAnsi="Times New Roman" w:cs="Times New Roman"/>
                <w:i/>
                <w:iCs/>
                <w:color w:val="000000"/>
                <w:sz w:val="24"/>
                <w:szCs w:val="24"/>
              </w:rPr>
              <w:t>(n=20)</w:t>
            </w:r>
          </w:p>
        </w:tc>
        <w:tc>
          <w:tcPr>
            <w:tcW w:w="30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8 (40.00)</w:t>
            </w:r>
          </w:p>
        </w:tc>
        <w:tc>
          <w:tcPr>
            <w:tcW w:w="11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0.631</w:t>
            </w:r>
          </w:p>
        </w:tc>
      </w:tr>
    </w:tbl>
    <w:p w:rsidR="007B3B97" w:rsidRDefault="007B3B97"/>
    <w:p w:rsidR="007B3B97" w:rsidRDefault="007B3B97" w:rsidP="007B3B97">
      <w:pPr>
        <w:rPr>
          <w:rFonts w:ascii="Times New Roman" w:hAnsi="Times New Roman" w:cs="Times New Roman"/>
          <w:b/>
          <w:sz w:val="28"/>
          <w:szCs w:val="28"/>
        </w:rPr>
      </w:pPr>
    </w:p>
    <w:p w:rsidR="007B3B97" w:rsidRDefault="007B3B97" w:rsidP="007B3B97">
      <w:pPr>
        <w:rPr>
          <w:rFonts w:ascii="Times New Roman" w:hAnsi="Times New Roman" w:cs="Times New Roman"/>
          <w:b/>
          <w:sz w:val="28"/>
          <w:szCs w:val="28"/>
        </w:rPr>
      </w:pPr>
    </w:p>
    <w:p w:rsidR="007B3B97" w:rsidRDefault="007B3B97" w:rsidP="007B3B97">
      <w:pPr>
        <w:rPr>
          <w:rFonts w:ascii="Times New Roman" w:hAnsi="Times New Roman" w:cs="Times New Roman"/>
          <w:b/>
          <w:sz w:val="28"/>
          <w:szCs w:val="28"/>
        </w:rPr>
      </w:pPr>
    </w:p>
    <w:p w:rsidR="007B3B97" w:rsidRDefault="007B3B97" w:rsidP="007B3B97">
      <w:pPr>
        <w:rPr>
          <w:rFonts w:ascii="Times New Roman" w:hAnsi="Times New Roman" w:cs="Times New Roman"/>
          <w:b/>
          <w:sz w:val="28"/>
          <w:szCs w:val="28"/>
        </w:rPr>
      </w:pPr>
    </w:p>
    <w:p w:rsidR="007B3B97" w:rsidRDefault="007B3B97" w:rsidP="007B3B97">
      <w:pPr>
        <w:rPr>
          <w:rFonts w:ascii="Times New Roman" w:hAnsi="Times New Roman" w:cs="Times New Roman"/>
          <w:b/>
          <w:sz w:val="28"/>
          <w:szCs w:val="28"/>
        </w:rPr>
      </w:pPr>
    </w:p>
    <w:p w:rsidR="007B3B97" w:rsidRDefault="007B3B97" w:rsidP="007B3B97">
      <w:pPr>
        <w:rPr>
          <w:rFonts w:ascii="Times New Roman" w:hAnsi="Times New Roman" w:cs="Times New Roman"/>
          <w:b/>
          <w:sz w:val="28"/>
          <w:szCs w:val="28"/>
        </w:rPr>
      </w:pPr>
    </w:p>
    <w:p w:rsidR="007B3B97" w:rsidRDefault="007B3B97" w:rsidP="007B3B97">
      <w:pPr>
        <w:rPr>
          <w:rFonts w:ascii="Times New Roman" w:hAnsi="Times New Roman" w:cs="Times New Roman"/>
          <w:b/>
          <w:sz w:val="28"/>
          <w:szCs w:val="28"/>
        </w:rPr>
      </w:pPr>
    </w:p>
    <w:p w:rsidR="007B3B97" w:rsidRDefault="007B3B97" w:rsidP="007B3B97">
      <w:pPr>
        <w:rPr>
          <w:rFonts w:ascii="Times New Roman" w:hAnsi="Times New Roman" w:cs="Times New Roman"/>
          <w:b/>
          <w:sz w:val="28"/>
          <w:szCs w:val="28"/>
        </w:rPr>
      </w:pPr>
    </w:p>
    <w:p w:rsidR="007B3B97" w:rsidRPr="007B3B97" w:rsidRDefault="007B3B97" w:rsidP="007B3B97">
      <w:pPr>
        <w:rPr>
          <w:rFonts w:ascii="Times New Roman" w:hAnsi="Times New Roman" w:cs="Times New Roman"/>
          <w:b/>
          <w:sz w:val="28"/>
          <w:szCs w:val="28"/>
        </w:rPr>
      </w:pPr>
      <w:r w:rsidRPr="007B3B97">
        <w:rPr>
          <w:rFonts w:ascii="Times New Roman" w:hAnsi="Times New Roman" w:cs="Times New Roman"/>
          <w:b/>
          <w:sz w:val="28"/>
          <w:szCs w:val="28"/>
        </w:rPr>
        <w:lastRenderedPageBreak/>
        <w:t xml:space="preserve">Supplemental </w:t>
      </w:r>
      <w:r w:rsidR="00D806EE">
        <w:rPr>
          <w:rFonts w:ascii="Times New Roman" w:hAnsi="Times New Roman" w:cs="Times New Roman"/>
          <w:b/>
          <w:sz w:val="28"/>
          <w:szCs w:val="28"/>
        </w:rPr>
        <w:t>Table</w:t>
      </w:r>
      <w:bookmarkStart w:id="0" w:name="_GoBack"/>
      <w:bookmarkEnd w:id="0"/>
      <w:r w:rsidRPr="007B3B97">
        <w:rPr>
          <w:rFonts w:ascii="Times New Roman" w:hAnsi="Times New Roman" w:cs="Times New Roman"/>
          <w:b/>
          <w:sz w:val="28"/>
          <w:szCs w:val="28"/>
        </w:rPr>
        <w:t xml:space="preserve"> </w:t>
      </w:r>
      <w:r>
        <w:rPr>
          <w:rFonts w:ascii="Times New Roman" w:hAnsi="Times New Roman" w:cs="Times New Roman"/>
          <w:b/>
          <w:sz w:val="28"/>
          <w:szCs w:val="28"/>
        </w:rPr>
        <w:t>2</w:t>
      </w:r>
      <w:r w:rsidRPr="007B3B97">
        <w:rPr>
          <w:rFonts w:ascii="Times New Roman" w:hAnsi="Times New Roman" w:cs="Times New Roman"/>
          <w:b/>
          <w:sz w:val="28"/>
          <w:szCs w:val="28"/>
        </w:rPr>
        <w:t xml:space="preserve">: Association Between Cancer Type and </w:t>
      </w:r>
      <w:r>
        <w:rPr>
          <w:rFonts w:ascii="Times New Roman" w:hAnsi="Times New Roman" w:cs="Times New Roman"/>
          <w:b/>
          <w:sz w:val="28"/>
          <w:szCs w:val="28"/>
        </w:rPr>
        <w:t>Depression</w:t>
      </w:r>
      <w:r w:rsidRPr="007B3B97">
        <w:rPr>
          <w:rFonts w:ascii="Times New Roman" w:hAnsi="Times New Roman" w:cs="Times New Roman"/>
          <w:b/>
          <w:sz w:val="28"/>
          <w:szCs w:val="28"/>
        </w:rPr>
        <w:t xml:space="preserve"> Based on Chi-Square Test</w:t>
      </w:r>
    </w:p>
    <w:tbl>
      <w:tblPr>
        <w:tblW w:w="7470" w:type="dxa"/>
        <w:tblInd w:w="-5" w:type="dxa"/>
        <w:tblLook w:val="04A0" w:firstRow="1" w:lastRow="0" w:firstColumn="1" w:lastColumn="0" w:noHBand="0" w:noVBand="1"/>
      </w:tblPr>
      <w:tblGrid>
        <w:gridCol w:w="3330"/>
        <w:gridCol w:w="2910"/>
        <w:gridCol w:w="1230"/>
      </w:tblGrid>
      <w:tr w:rsidR="007B3B97" w:rsidRPr="007B3B97" w:rsidTr="007B3B97">
        <w:trPr>
          <w:trHeight w:val="300"/>
        </w:trPr>
        <w:tc>
          <w:tcPr>
            <w:tcW w:w="33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3B97" w:rsidRPr="007B3B97" w:rsidRDefault="007B3B97" w:rsidP="007B3B97">
            <w:pPr>
              <w:spacing w:after="0" w:line="240" w:lineRule="auto"/>
              <w:rPr>
                <w:rFonts w:ascii="Times New Roman" w:eastAsia="Times New Roman" w:hAnsi="Times New Roman" w:cs="Times New Roman"/>
                <w:b/>
                <w:bCs/>
                <w:color w:val="000000"/>
                <w:sz w:val="24"/>
                <w:szCs w:val="24"/>
              </w:rPr>
            </w:pPr>
            <w:r w:rsidRPr="007B3B97">
              <w:rPr>
                <w:rFonts w:ascii="Times New Roman" w:eastAsia="Times New Roman" w:hAnsi="Times New Roman" w:cs="Times New Roman"/>
                <w:b/>
                <w:bCs/>
                <w:color w:val="000000"/>
                <w:sz w:val="24"/>
                <w:szCs w:val="24"/>
              </w:rPr>
              <w:t>Cancer type</w:t>
            </w:r>
          </w:p>
        </w:tc>
        <w:tc>
          <w:tcPr>
            <w:tcW w:w="4140" w:type="dxa"/>
            <w:gridSpan w:val="2"/>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b/>
                <w:bCs/>
                <w:color w:val="000000"/>
                <w:sz w:val="24"/>
                <w:szCs w:val="24"/>
              </w:rPr>
            </w:pPr>
            <w:r w:rsidRPr="007B3B97">
              <w:rPr>
                <w:rFonts w:ascii="Times New Roman" w:eastAsia="Times New Roman" w:hAnsi="Times New Roman" w:cs="Times New Roman"/>
                <w:b/>
                <w:bCs/>
                <w:color w:val="000000"/>
                <w:sz w:val="24"/>
                <w:szCs w:val="24"/>
              </w:rPr>
              <w:t>Prevalence of depression</w:t>
            </w:r>
            <w:r>
              <w:rPr>
                <w:rFonts w:ascii="Times New Roman" w:eastAsia="Times New Roman" w:hAnsi="Times New Roman" w:cs="Times New Roman"/>
                <w:b/>
                <w:bCs/>
                <w:color w:val="000000"/>
                <w:sz w:val="24"/>
                <w:szCs w:val="24"/>
              </w:rPr>
              <w:t>, PHQ-9 ≥ 10</w:t>
            </w:r>
          </w:p>
        </w:tc>
      </w:tr>
      <w:tr w:rsidR="007B3B97" w:rsidRPr="007B3B97" w:rsidTr="007B3B97">
        <w:trPr>
          <w:trHeight w:val="300"/>
        </w:trPr>
        <w:tc>
          <w:tcPr>
            <w:tcW w:w="3330" w:type="dxa"/>
            <w:vMerge/>
            <w:tcBorders>
              <w:top w:val="single" w:sz="4" w:space="0" w:color="auto"/>
              <w:left w:val="single" w:sz="4" w:space="0" w:color="auto"/>
              <w:bottom w:val="single" w:sz="4" w:space="0" w:color="auto"/>
              <w:right w:val="single" w:sz="4" w:space="0" w:color="auto"/>
            </w:tcBorders>
            <w:vAlign w:val="center"/>
            <w:hideMark/>
          </w:tcPr>
          <w:p w:rsidR="007B3B97" w:rsidRPr="007B3B97" w:rsidRDefault="007B3B97" w:rsidP="007B3B97">
            <w:pPr>
              <w:spacing w:after="0" w:line="240" w:lineRule="auto"/>
              <w:rPr>
                <w:rFonts w:ascii="Times New Roman" w:eastAsia="Times New Roman" w:hAnsi="Times New Roman" w:cs="Times New Roman"/>
                <w:b/>
                <w:bCs/>
                <w:color w:val="000000"/>
                <w:sz w:val="24"/>
                <w:szCs w:val="24"/>
              </w:rPr>
            </w:pPr>
          </w:p>
        </w:tc>
        <w:tc>
          <w:tcPr>
            <w:tcW w:w="2910" w:type="dxa"/>
            <w:tcBorders>
              <w:top w:val="nil"/>
              <w:left w:val="nil"/>
              <w:bottom w:val="single" w:sz="4" w:space="0" w:color="auto"/>
              <w:right w:val="single" w:sz="4" w:space="0" w:color="auto"/>
            </w:tcBorders>
            <w:shd w:val="clear" w:color="auto" w:fill="auto"/>
            <w:noWrap/>
            <w:vAlign w:val="center"/>
            <w:hideMark/>
          </w:tcPr>
          <w:p w:rsidR="007B3B97" w:rsidRPr="007B3B97" w:rsidRDefault="007B3B97" w:rsidP="007B3B97">
            <w:pPr>
              <w:spacing w:after="0" w:line="240" w:lineRule="auto"/>
              <w:jc w:val="center"/>
              <w:rPr>
                <w:rFonts w:ascii="Times New Roman" w:eastAsia="Times New Roman" w:hAnsi="Times New Roman" w:cs="Times New Roman"/>
                <w:b/>
                <w:bCs/>
                <w:color w:val="000000"/>
                <w:sz w:val="24"/>
                <w:szCs w:val="24"/>
              </w:rPr>
            </w:pPr>
            <w:r w:rsidRPr="007B3B97">
              <w:rPr>
                <w:rFonts w:ascii="Times New Roman" w:eastAsia="Times New Roman" w:hAnsi="Times New Roman" w:cs="Times New Roman"/>
                <w:b/>
                <w:bCs/>
                <w:color w:val="000000"/>
                <w:sz w:val="24"/>
                <w:szCs w:val="24"/>
              </w:rPr>
              <w:t>n (col%)</w:t>
            </w:r>
          </w:p>
        </w:tc>
        <w:tc>
          <w:tcPr>
            <w:tcW w:w="1230" w:type="dxa"/>
            <w:tcBorders>
              <w:top w:val="nil"/>
              <w:left w:val="nil"/>
              <w:bottom w:val="single" w:sz="4" w:space="0" w:color="auto"/>
              <w:right w:val="single" w:sz="4" w:space="0" w:color="auto"/>
            </w:tcBorders>
            <w:shd w:val="clear" w:color="auto" w:fill="auto"/>
            <w:noWrap/>
            <w:vAlign w:val="center"/>
            <w:hideMark/>
          </w:tcPr>
          <w:p w:rsidR="007B3B97" w:rsidRPr="007B3B97" w:rsidRDefault="007B3B97" w:rsidP="007B3B97">
            <w:pPr>
              <w:spacing w:after="0" w:line="240" w:lineRule="auto"/>
              <w:jc w:val="center"/>
              <w:rPr>
                <w:rFonts w:ascii="Times New Roman" w:eastAsia="Times New Roman" w:hAnsi="Times New Roman" w:cs="Times New Roman"/>
                <w:b/>
                <w:bCs/>
                <w:i/>
                <w:iCs/>
                <w:color w:val="000000"/>
                <w:sz w:val="24"/>
                <w:szCs w:val="24"/>
              </w:rPr>
            </w:pPr>
            <w:r w:rsidRPr="007B3B97">
              <w:rPr>
                <w:rFonts w:ascii="Times New Roman" w:eastAsia="Times New Roman" w:hAnsi="Times New Roman" w:cs="Times New Roman"/>
                <w:b/>
                <w:bCs/>
                <w:i/>
                <w:iCs/>
                <w:color w:val="000000"/>
                <w:sz w:val="24"/>
                <w:szCs w:val="24"/>
              </w:rPr>
              <w:t>p-value</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Head &amp; neck </w:t>
            </w:r>
            <w:r w:rsidRPr="007B3B97">
              <w:rPr>
                <w:rFonts w:ascii="Times New Roman" w:eastAsia="Times New Roman" w:hAnsi="Times New Roman" w:cs="Times New Roman"/>
                <w:i/>
                <w:iCs/>
                <w:color w:val="000000"/>
                <w:sz w:val="24"/>
                <w:szCs w:val="24"/>
              </w:rPr>
              <w:t>(n=16)</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8 (50.00)</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0.618</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Lung </w:t>
            </w:r>
            <w:r w:rsidRPr="007B3B97">
              <w:rPr>
                <w:rFonts w:ascii="Times New Roman" w:eastAsia="Times New Roman" w:hAnsi="Times New Roman" w:cs="Times New Roman"/>
                <w:i/>
                <w:iCs/>
                <w:color w:val="000000"/>
                <w:sz w:val="24"/>
                <w:szCs w:val="24"/>
              </w:rPr>
              <w:t>(n=51)</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12 (23.53</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0.002</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Breast </w:t>
            </w:r>
            <w:r w:rsidRPr="007B3B97">
              <w:rPr>
                <w:rFonts w:ascii="Times New Roman" w:eastAsia="Times New Roman" w:hAnsi="Times New Roman" w:cs="Times New Roman"/>
                <w:i/>
                <w:iCs/>
                <w:color w:val="000000"/>
                <w:sz w:val="24"/>
                <w:szCs w:val="24"/>
              </w:rPr>
              <w:t>(n=101)</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58 (57.43)</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0.001</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Hepatobiliary </w:t>
            </w:r>
            <w:r w:rsidRPr="007B3B97">
              <w:rPr>
                <w:rFonts w:ascii="Times New Roman" w:eastAsia="Times New Roman" w:hAnsi="Times New Roman" w:cs="Times New Roman"/>
                <w:i/>
                <w:iCs/>
                <w:color w:val="000000"/>
                <w:sz w:val="24"/>
                <w:szCs w:val="24"/>
              </w:rPr>
              <w:t>(n=16)</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12 (75.00)</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0.018</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Gastrointestinal </w:t>
            </w:r>
            <w:r w:rsidRPr="007B3B97">
              <w:rPr>
                <w:rFonts w:ascii="Times New Roman" w:eastAsia="Times New Roman" w:hAnsi="Times New Roman" w:cs="Times New Roman"/>
                <w:i/>
                <w:iCs/>
                <w:color w:val="000000"/>
                <w:sz w:val="24"/>
                <w:szCs w:val="24"/>
              </w:rPr>
              <w:t>(n=48)</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24 (50.00)</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0.353</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Prostate </w:t>
            </w:r>
            <w:r w:rsidRPr="007B3B97">
              <w:rPr>
                <w:rFonts w:ascii="Times New Roman" w:eastAsia="Times New Roman" w:hAnsi="Times New Roman" w:cs="Times New Roman"/>
                <w:i/>
                <w:iCs/>
                <w:color w:val="000000"/>
                <w:sz w:val="24"/>
                <w:szCs w:val="24"/>
              </w:rPr>
              <w:t>(n=8)</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4 (50.00)</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0.734</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Kidney and urinary tract </w:t>
            </w:r>
            <w:r w:rsidRPr="007B3B97">
              <w:rPr>
                <w:rFonts w:ascii="Times New Roman" w:eastAsia="Times New Roman" w:hAnsi="Times New Roman" w:cs="Times New Roman"/>
                <w:i/>
                <w:iCs/>
                <w:color w:val="000000"/>
                <w:sz w:val="24"/>
                <w:szCs w:val="24"/>
              </w:rPr>
              <w:t>(n=25)</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10 (40.00)</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0.836</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Colorectal </w:t>
            </w:r>
            <w:r w:rsidRPr="007B3B97">
              <w:rPr>
                <w:rFonts w:ascii="Times New Roman" w:eastAsia="Times New Roman" w:hAnsi="Times New Roman" w:cs="Times New Roman"/>
                <w:i/>
                <w:iCs/>
                <w:color w:val="000000"/>
                <w:sz w:val="24"/>
                <w:szCs w:val="24"/>
              </w:rPr>
              <w:t>(n=50)</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24 (48.00)</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0.518</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Ovary and Endometrial </w:t>
            </w:r>
            <w:r w:rsidRPr="007B3B97">
              <w:rPr>
                <w:rFonts w:ascii="Times New Roman" w:eastAsia="Times New Roman" w:hAnsi="Times New Roman" w:cs="Times New Roman"/>
                <w:i/>
                <w:iCs/>
                <w:color w:val="000000"/>
                <w:sz w:val="24"/>
                <w:szCs w:val="24"/>
              </w:rPr>
              <w:t>(n=23)</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8 (34.78)</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0.398</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Cervical </w:t>
            </w:r>
            <w:r w:rsidRPr="007B3B97">
              <w:rPr>
                <w:rFonts w:ascii="Times New Roman" w:eastAsia="Times New Roman" w:hAnsi="Times New Roman" w:cs="Times New Roman"/>
                <w:i/>
                <w:iCs/>
                <w:color w:val="000000"/>
                <w:sz w:val="24"/>
                <w:szCs w:val="24"/>
              </w:rPr>
              <w:t>(n=12)</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4 (33.33)</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0.563</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Lymphoma </w:t>
            </w:r>
            <w:r w:rsidRPr="007B3B97">
              <w:rPr>
                <w:rFonts w:ascii="Times New Roman" w:eastAsia="Times New Roman" w:hAnsi="Times New Roman" w:cs="Times New Roman"/>
                <w:i/>
                <w:iCs/>
                <w:color w:val="000000"/>
                <w:sz w:val="24"/>
                <w:szCs w:val="24"/>
              </w:rPr>
              <w:t>(n=46)</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10 (21.74)</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0.001</w:t>
            </w:r>
          </w:p>
        </w:tc>
      </w:tr>
      <w:tr w:rsidR="007B3B97" w:rsidRPr="007B3B97" w:rsidTr="007B3B97">
        <w:trPr>
          <w:trHeight w:val="309"/>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 xml:space="preserve">Leukemia </w:t>
            </w:r>
            <w:r w:rsidRPr="007B3B97">
              <w:rPr>
                <w:rFonts w:ascii="Times New Roman" w:eastAsia="Times New Roman" w:hAnsi="Times New Roman" w:cs="Times New Roman"/>
                <w:i/>
                <w:iCs/>
                <w:color w:val="000000"/>
                <w:sz w:val="24"/>
                <w:szCs w:val="24"/>
              </w:rPr>
              <w:t>(n=20)</w:t>
            </w:r>
          </w:p>
        </w:tc>
        <w:tc>
          <w:tcPr>
            <w:tcW w:w="291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8 (40.00)</w:t>
            </w:r>
          </w:p>
        </w:tc>
        <w:tc>
          <w:tcPr>
            <w:tcW w:w="1230" w:type="dxa"/>
            <w:tcBorders>
              <w:top w:val="nil"/>
              <w:left w:val="nil"/>
              <w:bottom w:val="single" w:sz="4" w:space="0" w:color="auto"/>
              <w:right w:val="single" w:sz="4" w:space="0" w:color="auto"/>
            </w:tcBorders>
            <w:shd w:val="clear" w:color="auto" w:fill="auto"/>
            <w:noWrap/>
            <w:vAlign w:val="bottom"/>
            <w:hideMark/>
          </w:tcPr>
          <w:p w:rsidR="007B3B97" w:rsidRPr="007B3B97" w:rsidRDefault="007B3B97" w:rsidP="007B3B97">
            <w:pPr>
              <w:spacing w:after="0" w:line="240" w:lineRule="auto"/>
              <w:jc w:val="center"/>
              <w:rPr>
                <w:rFonts w:ascii="Times New Roman" w:eastAsia="Times New Roman" w:hAnsi="Times New Roman" w:cs="Times New Roman"/>
                <w:color w:val="000000"/>
                <w:sz w:val="24"/>
                <w:szCs w:val="24"/>
              </w:rPr>
            </w:pPr>
            <w:r w:rsidRPr="007B3B97">
              <w:rPr>
                <w:rFonts w:ascii="Times New Roman" w:eastAsia="Times New Roman" w:hAnsi="Times New Roman" w:cs="Times New Roman"/>
                <w:color w:val="000000"/>
                <w:sz w:val="24"/>
                <w:szCs w:val="24"/>
              </w:rPr>
              <w:t>0.82</w:t>
            </w:r>
          </w:p>
        </w:tc>
      </w:tr>
    </w:tbl>
    <w:p w:rsidR="007B3B97" w:rsidRDefault="007B3B97"/>
    <w:p w:rsidR="00F764B6" w:rsidRDefault="00F764B6"/>
    <w:p w:rsidR="00F764B6" w:rsidRDefault="00F764B6"/>
    <w:p w:rsidR="00F764B6" w:rsidRDefault="00F764B6"/>
    <w:p w:rsidR="00F764B6" w:rsidRDefault="00F764B6"/>
    <w:p w:rsidR="00F764B6" w:rsidRDefault="00F764B6"/>
    <w:p w:rsidR="00F764B6" w:rsidRDefault="00F764B6"/>
    <w:p w:rsidR="00F764B6" w:rsidRDefault="00F764B6"/>
    <w:p w:rsidR="00F764B6" w:rsidRDefault="00F764B6"/>
    <w:p w:rsidR="00F764B6" w:rsidRDefault="00F764B6"/>
    <w:p w:rsidR="00F764B6" w:rsidRDefault="00F764B6" w:rsidP="00F764B6">
      <w:pPr>
        <w:jc w:val="center"/>
      </w:pPr>
      <w:r>
        <w:rPr>
          <w:noProof/>
        </w:rPr>
        <w:lastRenderedPageBreak/>
        <w:drawing>
          <wp:inline distT="0" distB="0" distL="0" distR="0">
            <wp:extent cx="7012983" cy="4773266"/>
            <wp:effectExtent l="19050" t="19050" r="16510"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gitty-model_anxiety and depression.jpeg"/>
                    <pic:cNvPicPr/>
                  </pic:nvPicPr>
                  <pic:blipFill>
                    <a:blip r:embed="rId4">
                      <a:extLst>
                        <a:ext uri="{28A0092B-C50C-407E-A947-70E740481C1C}">
                          <a14:useLocalDpi xmlns:a14="http://schemas.microsoft.com/office/drawing/2010/main" val="0"/>
                        </a:ext>
                      </a:extLst>
                    </a:blip>
                    <a:stretch>
                      <a:fillRect/>
                    </a:stretch>
                  </pic:blipFill>
                  <pic:spPr>
                    <a:xfrm>
                      <a:off x="0" y="0"/>
                      <a:ext cx="7018933" cy="4777316"/>
                    </a:xfrm>
                    <a:prstGeom prst="rect">
                      <a:avLst/>
                    </a:prstGeom>
                    <a:ln>
                      <a:solidFill>
                        <a:schemeClr val="tx1"/>
                      </a:solidFill>
                    </a:ln>
                  </pic:spPr>
                </pic:pic>
              </a:graphicData>
            </a:graphic>
          </wp:inline>
        </w:drawing>
      </w:r>
    </w:p>
    <w:p w:rsidR="00F764B6" w:rsidRPr="00F764B6" w:rsidRDefault="00070DB6" w:rsidP="00070DB6">
      <w:pPr>
        <w:rPr>
          <w:rFonts w:ascii="Times New Roman" w:hAnsi="Times New Roman" w:cs="Times New Roman"/>
          <w:b/>
          <w:sz w:val="28"/>
          <w:szCs w:val="28"/>
        </w:rPr>
      </w:pPr>
      <w:r w:rsidRPr="00070DB6">
        <w:rPr>
          <w:rFonts w:ascii="Times New Roman" w:hAnsi="Times New Roman" w:cs="Times New Roman"/>
          <w:b/>
          <w:sz w:val="28"/>
          <w:szCs w:val="28"/>
        </w:rPr>
        <w:t xml:space="preserve">Supplementary Figure 1. </w:t>
      </w:r>
      <w:r w:rsidRPr="00070DB6">
        <w:rPr>
          <w:rFonts w:ascii="Times New Roman" w:hAnsi="Times New Roman" w:cs="Times New Roman"/>
          <w:sz w:val="28"/>
          <w:szCs w:val="28"/>
        </w:rPr>
        <w:t>Simplified directed acyclic graph illustrating the principal causal assumptions used to guide confounder selection. The figure is intended to summarize the key relationships considered during model development and does not depict every possible causal pathway or adjustment decision.</w:t>
      </w:r>
    </w:p>
    <w:sectPr w:rsidR="00F764B6" w:rsidRPr="00F764B6" w:rsidSect="007B3B9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B97"/>
    <w:rsid w:val="00044489"/>
    <w:rsid w:val="00070DB6"/>
    <w:rsid w:val="001766B5"/>
    <w:rsid w:val="006276EE"/>
    <w:rsid w:val="007B3B97"/>
    <w:rsid w:val="00D806EE"/>
    <w:rsid w:val="00F76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484C6C-6101-415B-B76A-EEE0470C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1011">
      <w:bodyDiv w:val="1"/>
      <w:marLeft w:val="0"/>
      <w:marRight w:val="0"/>
      <w:marTop w:val="0"/>
      <w:marBottom w:val="0"/>
      <w:divBdr>
        <w:top w:val="none" w:sz="0" w:space="0" w:color="auto"/>
        <w:left w:val="none" w:sz="0" w:space="0" w:color="auto"/>
        <w:bottom w:val="none" w:sz="0" w:space="0" w:color="auto"/>
        <w:right w:val="none" w:sz="0" w:space="0" w:color="auto"/>
      </w:divBdr>
    </w:div>
    <w:div w:id="739864605">
      <w:bodyDiv w:val="1"/>
      <w:marLeft w:val="0"/>
      <w:marRight w:val="0"/>
      <w:marTop w:val="0"/>
      <w:marBottom w:val="0"/>
      <w:divBdr>
        <w:top w:val="none" w:sz="0" w:space="0" w:color="auto"/>
        <w:left w:val="none" w:sz="0" w:space="0" w:color="auto"/>
        <w:bottom w:val="none" w:sz="0" w:space="0" w:color="auto"/>
        <w:right w:val="none" w:sz="0" w:space="0" w:color="auto"/>
      </w:divBdr>
    </w:div>
    <w:div w:id="77517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Homayra Rahman Shoshi</dc:creator>
  <cp:keywords/>
  <dc:description/>
  <cp:lastModifiedBy>Homayra Rahman Shoshi</cp:lastModifiedBy>
  <cp:revision>11</cp:revision>
  <dcterms:created xsi:type="dcterms:W3CDTF">2025-10-04T13:42:00Z</dcterms:created>
  <dcterms:modified xsi:type="dcterms:W3CDTF">2026-07-03T15:17:00Z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ff10202a-e93f-41ee-88fd-b5d3543da22c</vt:lpwstr>
  </property>
</Properties>
</file>