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1E88" w14:textId="77777777" w:rsidR="00EB0734" w:rsidRPr="00014D6D" w:rsidRDefault="00EB0734">
      <w:pPr>
        <w:rPr>
          <w:rFonts w:ascii="Times New Roman" w:hAnsi="Times New Roman" w:cs="Times New Roman"/>
          <w:sz w:val="24"/>
          <w:szCs w:val="24"/>
        </w:rPr>
      </w:pPr>
    </w:p>
    <w:p w14:paraId="1C89F258" w14:textId="77777777" w:rsidR="000B7B11" w:rsidRPr="00014D6D" w:rsidRDefault="000B7B11" w:rsidP="004803D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322D084" w14:textId="77777777" w:rsidR="000B7B11" w:rsidRPr="00014D6D" w:rsidRDefault="000B7B11" w:rsidP="004803D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lang w:val="en-US"/>
        </w:rPr>
      </w:pPr>
      <w:r w:rsidRPr="00014D6D">
        <w:rPr>
          <w:rFonts w:ascii="Times New Roman" w:hAnsi="Times New Roman" w:cs="Times New Roman"/>
          <w:b/>
          <w:bCs/>
          <w:i/>
          <w:iCs/>
          <w:sz w:val="44"/>
          <w:szCs w:val="44"/>
          <w:lang w:val="en-US"/>
        </w:rPr>
        <w:t>Supplementary material</w:t>
      </w:r>
    </w:p>
    <w:p w14:paraId="19A63AC9" w14:textId="77777777" w:rsidR="004803D3" w:rsidRPr="00014D6D" w:rsidRDefault="004803D3" w:rsidP="004803D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lang w:val="en-US"/>
        </w:rPr>
      </w:pPr>
      <w:r w:rsidRPr="00014D6D">
        <w:rPr>
          <w:rFonts w:ascii="Times New Roman" w:hAnsi="Times New Roman" w:cs="Times New Roman"/>
          <w:b/>
          <w:bCs/>
          <w:i/>
          <w:iCs/>
          <w:sz w:val="44"/>
          <w:szCs w:val="44"/>
          <w:lang w:val="en-US"/>
        </w:rPr>
        <w:t>Scientific Reports</w:t>
      </w:r>
    </w:p>
    <w:p w14:paraId="1929FAFA" w14:textId="77777777" w:rsidR="004803D3" w:rsidRPr="00014D6D" w:rsidRDefault="004803D3" w:rsidP="004803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A8E0702" w14:textId="77777777" w:rsidR="004803D3" w:rsidRPr="00014D6D" w:rsidRDefault="004803D3" w:rsidP="004803D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35AFCECA" w14:textId="77777777" w:rsidR="0022709F" w:rsidRPr="00014D6D" w:rsidRDefault="0022709F" w:rsidP="004803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49CE6FD" w14:textId="77777777" w:rsidR="0022709F" w:rsidRPr="00014D6D" w:rsidRDefault="0022709F" w:rsidP="004803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25635F4" w14:textId="77777777" w:rsidR="0022709F" w:rsidRPr="00014D6D" w:rsidRDefault="0022709F" w:rsidP="004803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40609467" w14:textId="77777777" w:rsidR="004803D3" w:rsidRPr="00014D6D" w:rsidRDefault="004803D3" w:rsidP="004803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14D6D">
        <w:rPr>
          <w:rFonts w:ascii="Times New Roman" w:hAnsi="Times New Roman" w:cs="Times New Roman"/>
          <w:b/>
          <w:bCs/>
          <w:sz w:val="28"/>
          <w:szCs w:val="28"/>
          <w:lang w:val="en-GB"/>
        </w:rPr>
        <w:t>Combined effect of Al</w:t>
      </w:r>
      <w:r w:rsidRPr="00014D6D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GB"/>
        </w:rPr>
        <w:t>2</w:t>
      </w:r>
      <w:r w:rsidRPr="00014D6D">
        <w:rPr>
          <w:rFonts w:ascii="Times New Roman" w:hAnsi="Times New Roman" w:cs="Times New Roman"/>
          <w:b/>
          <w:bCs/>
          <w:sz w:val="28"/>
          <w:szCs w:val="28"/>
          <w:lang w:val="en-GB"/>
        </w:rPr>
        <w:t>O</w:t>
      </w:r>
      <w:r w:rsidRPr="00014D6D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GB"/>
        </w:rPr>
        <w:t>3</w:t>
      </w:r>
      <w:r w:rsidRPr="00014D6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microparticle-enhanced cultivation (MPEC) and inoculation strategy on </w:t>
      </w:r>
      <w:r w:rsidRPr="00014D6D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Streptomyces rimosus</w:t>
      </w:r>
      <w:r w:rsidRPr="00014D6D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 xml:space="preserve"> </w:t>
      </w:r>
    </w:p>
    <w:p w14:paraId="542A0730" w14:textId="77777777" w:rsidR="004803D3" w:rsidRPr="00014D6D" w:rsidRDefault="004803D3" w:rsidP="004803D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62B020" w14:textId="77777777" w:rsidR="0022709F" w:rsidRPr="00014D6D" w:rsidRDefault="0022709F" w:rsidP="004803D3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14:paraId="440BA6D9" w14:textId="77777777" w:rsidR="004803D3" w:rsidRPr="00014D6D" w:rsidRDefault="004803D3" w:rsidP="004803D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14D6D">
        <w:rPr>
          <w:rFonts w:ascii="Times New Roman" w:hAnsi="Times New Roman" w:cs="Times New Roman"/>
        </w:rPr>
        <w:t>Anna Ścigaczewska</w:t>
      </w:r>
      <w:r w:rsidRPr="00014D6D">
        <w:rPr>
          <w:rFonts w:ascii="Times New Roman" w:hAnsi="Times New Roman" w:cs="Times New Roman"/>
          <w:vertAlign w:val="superscript"/>
        </w:rPr>
        <w:t xml:space="preserve"> a</w:t>
      </w:r>
      <w:r w:rsidRPr="00014D6D">
        <w:rPr>
          <w:rFonts w:ascii="Times New Roman" w:hAnsi="Times New Roman" w:cs="Times New Roman"/>
        </w:rPr>
        <w:t xml:space="preserve">*, Tomasz </w:t>
      </w:r>
      <w:proofErr w:type="spellStart"/>
      <w:r w:rsidRPr="00014D6D">
        <w:rPr>
          <w:rFonts w:ascii="Times New Roman" w:hAnsi="Times New Roman" w:cs="Times New Roman"/>
        </w:rPr>
        <w:t>Boruta</w:t>
      </w:r>
      <w:r w:rsidRPr="00014D6D">
        <w:rPr>
          <w:rFonts w:ascii="Times New Roman" w:hAnsi="Times New Roman" w:cs="Times New Roman"/>
          <w:vertAlign w:val="superscript"/>
        </w:rPr>
        <w:t>b</w:t>
      </w:r>
      <w:proofErr w:type="spellEnd"/>
      <w:r w:rsidRPr="00014D6D">
        <w:rPr>
          <w:rFonts w:ascii="Times New Roman" w:hAnsi="Times New Roman" w:cs="Times New Roman"/>
        </w:rPr>
        <w:t xml:space="preserve">, Marcin </w:t>
      </w:r>
      <w:proofErr w:type="spellStart"/>
      <w:r w:rsidRPr="00014D6D">
        <w:rPr>
          <w:rFonts w:ascii="Times New Roman" w:hAnsi="Times New Roman" w:cs="Times New Roman"/>
        </w:rPr>
        <w:t>Bizukojć</w:t>
      </w:r>
      <w:r w:rsidRPr="00014D6D">
        <w:rPr>
          <w:rFonts w:ascii="Times New Roman" w:hAnsi="Times New Roman" w:cs="Times New Roman"/>
          <w:vertAlign w:val="superscript"/>
        </w:rPr>
        <w:t>c</w:t>
      </w:r>
      <w:proofErr w:type="spellEnd"/>
      <w:r w:rsidRPr="00014D6D">
        <w:rPr>
          <w:rFonts w:ascii="Times New Roman" w:hAnsi="Times New Roman" w:cs="Times New Roman"/>
        </w:rPr>
        <w:t xml:space="preserve">, Weronika </w:t>
      </w:r>
      <w:proofErr w:type="spellStart"/>
      <w:r w:rsidRPr="00014D6D">
        <w:rPr>
          <w:rFonts w:ascii="Times New Roman" w:hAnsi="Times New Roman" w:cs="Times New Roman"/>
        </w:rPr>
        <w:t>Grzesiak</w:t>
      </w:r>
      <w:r w:rsidRPr="00014D6D">
        <w:rPr>
          <w:rFonts w:ascii="Times New Roman" w:hAnsi="Times New Roman" w:cs="Times New Roman"/>
          <w:vertAlign w:val="superscript"/>
        </w:rPr>
        <w:t>d</w:t>
      </w:r>
      <w:proofErr w:type="spellEnd"/>
    </w:p>
    <w:p w14:paraId="0E0CA9FA" w14:textId="77777777" w:rsidR="004803D3" w:rsidRPr="00014D6D" w:rsidRDefault="004803D3" w:rsidP="004803D3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r w:rsidRPr="00014D6D">
        <w:rPr>
          <w:rFonts w:ascii="Times New Roman" w:hAnsi="Times New Roman" w:cs="Times New Roman"/>
          <w:lang w:val="en-GB"/>
        </w:rPr>
        <w:t>*corresponding author: anna.kowalska.1@p.lodz.pl</w:t>
      </w:r>
    </w:p>
    <w:p w14:paraId="16E198D1" w14:textId="77777777" w:rsidR="004803D3" w:rsidRPr="00014D6D" w:rsidRDefault="004803D3" w:rsidP="004803D3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r w:rsidRPr="00014D6D">
        <w:rPr>
          <w:rFonts w:ascii="Times New Roman" w:hAnsi="Times New Roman" w:cs="Times New Roman"/>
          <w:lang w:val="en-GB"/>
        </w:rPr>
        <w:t>Lodz University of Technology, Faculty of Process and Environmental Engineering,</w:t>
      </w:r>
      <w:r w:rsidRPr="00014D6D">
        <w:rPr>
          <w:rFonts w:ascii="Times New Roman" w:hAnsi="Times New Roman" w:cs="Times New Roman"/>
          <w:lang w:val="en-GB"/>
        </w:rPr>
        <w:br/>
      </w:r>
      <w:proofErr w:type="spellStart"/>
      <w:r w:rsidRPr="00014D6D">
        <w:rPr>
          <w:rFonts w:ascii="Times New Roman" w:hAnsi="Times New Roman" w:cs="Times New Roman"/>
          <w:vertAlign w:val="superscript"/>
          <w:lang w:val="en-GB"/>
        </w:rPr>
        <w:t>a,b,c,d</w:t>
      </w:r>
      <w:proofErr w:type="spellEnd"/>
      <w:r w:rsidRPr="00014D6D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014D6D">
        <w:rPr>
          <w:rFonts w:ascii="Times New Roman" w:hAnsi="Times New Roman" w:cs="Times New Roman"/>
          <w:lang w:val="en-GB"/>
        </w:rPr>
        <w:t xml:space="preserve">Department of Bioprocess Engineering, ul. </w:t>
      </w:r>
      <w:proofErr w:type="spellStart"/>
      <w:r w:rsidRPr="00014D6D">
        <w:rPr>
          <w:rFonts w:ascii="Times New Roman" w:hAnsi="Times New Roman" w:cs="Times New Roman"/>
          <w:lang w:val="en-GB"/>
        </w:rPr>
        <w:t>Wolczanska</w:t>
      </w:r>
      <w:proofErr w:type="spellEnd"/>
      <w:r w:rsidRPr="00014D6D">
        <w:rPr>
          <w:rFonts w:ascii="Times New Roman" w:hAnsi="Times New Roman" w:cs="Times New Roman"/>
          <w:lang w:val="en-GB"/>
        </w:rPr>
        <w:t xml:space="preserve"> 213, 93-005 Lodz, Poland</w:t>
      </w:r>
    </w:p>
    <w:p w14:paraId="67B037DB" w14:textId="77777777" w:rsidR="004803D3" w:rsidRPr="00014D6D" w:rsidRDefault="004803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5BB3A8" w14:textId="77777777" w:rsidR="004F253C" w:rsidRPr="00014D6D" w:rsidRDefault="004F253C" w:rsidP="004F253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0831D6" w14:textId="77777777" w:rsidR="000B7B11" w:rsidRPr="00014D6D" w:rsidRDefault="000B7B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6CB7B0" w14:textId="77777777" w:rsidR="004803D3" w:rsidRPr="00014D6D" w:rsidRDefault="004803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DCF7F5A" w14:textId="77777777" w:rsidR="004803D3" w:rsidRPr="00014D6D" w:rsidRDefault="004803D3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C55842D" w14:textId="77777777" w:rsidR="00D82EB7" w:rsidRPr="00014D6D" w:rsidRDefault="00D82EB7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drawing>
          <wp:inline distT="0" distB="0" distL="0" distR="0" wp14:anchorId="28DE536A" wp14:editId="7432E19F">
            <wp:extent cx="5760720" cy="4519295"/>
            <wp:effectExtent l="0" t="0" r="0" b="0"/>
            <wp:docPr id="10290754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C13" w14:textId="77777777" w:rsidR="001117F5" w:rsidRPr="00014D6D" w:rsidRDefault="00D82EB7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microscopic 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>images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>formed in a spore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without Al</w:t>
      </w:r>
      <w:r w:rsidR="00F47442"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F47442"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1E14" w:rsidRPr="00014D6D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F47442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(control) at 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a) 24 h, b) 48 h, c) 72 h, d) 96 h.</w:t>
      </w:r>
    </w:p>
    <w:p w14:paraId="44F0DAEA" w14:textId="77777777" w:rsidR="005D1E14" w:rsidRPr="00014D6D" w:rsidRDefault="005D1E14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F0681FA" wp14:editId="17B53F58">
            <wp:extent cx="5762625" cy="4524375"/>
            <wp:effectExtent l="0" t="0" r="9525" b="9525"/>
            <wp:docPr id="69065053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B2011" w14:textId="77777777" w:rsidR="005D1E14" w:rsidRPr="00014D6D" w:rsidRDefault="005D1E14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spore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5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24 h, b) 48 h, c) 72 h, d) 96 h.</w:t>
      </w:r>
    </w:p>
    <w:p w14:paraId="30DA1CF2" w14:textId="77777777" w:rsidR="00151709" w:rsidRPr="00014D6D" w:rsidRDefault="00151709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A95318D" w14:textId="77777777" w:rsidR="00151709" w:rsidRPr="00014D6D" w:rsidRDefault="00151709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1F4BDF8C" wp14:editId="3CCBC9C3">
            <wp:extent cx="5760720" cy="4528185"/>
            <wp:effectExtent l="0" t="0" r="0" b="5715"/>
            <wp:docPr id="14754171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CC90" w14:textId="77777777" w:rsidR="00151709" w:rsidRPr="00014D6D" w:rsidRDefault="00151709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spore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10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24 h, b) 48 h, c) 72 h, d) 96 h.</w:t>
      </w:r>
    </w:p>
    <w:p w14:paraId="35A657BA" w14:textId="77777777" w:rsidR="00151709" w:rsidRPr="00014D6D" w:rsidRDefault="00151709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98042E0" w14:textId="77777777" w:rsidR="00151709" w:rsidRPr="00014D6D" w:rsidRDefault="005E0108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710817C0" wp14:editId="5E841FC0">
            <wp:extent cx="5760720" cy="4447540"/>
            <wp:effectExtent l="0" t="0" r="0" b="0"/>
            <wp:docPr id="1651727793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27014" w14:textId="77777777" w:rsidR="005E0108" w:rsidRPr="00014D6D" w:rsidRDefault="005E0108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spore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15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24 h, b) 48 h, c) 72 h, d) 96 h.</w:t>
      </w:r>
    </w:p>
    <w:p w14:paraId="04E28DE7" w14:textId="77777777" w:rsidR="00C80736" w:rsidRPr="00014D6D" w:rsidRDefault="00C80736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6A9A35" w14:textId="77777777" w:rsidR="00C80736" w:rsidRPr="00014D6D" w:rsidRDefault="00C80736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AA9B13" w14:textId="77777777" w:rsidR="00CD0186" w:rsidRPr="00014D6D" w:rsidRDefault="002C3404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0DC30476" wp14:editId="0D8ED213">
            <wp:extent cx="5762625" cy="6800850"/>
            <wp:effectExtent l="0" t="0" r="9525" b="0"/>
            <wp:docPr id="66064513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C0E1C" w14:textId="77777777" w:rsidR="00CD0186" w:rsidRPr="00014D6D" w:rsidRDefault="00CD0186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preculture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without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(control) at a) 0 h, b) 24 h, c) 48 h, d) 72 h, e) 96 h.</w:t>
      </w:r>
    </w:p>
    <w:p w14:paraId="2386095D" w14:textId="77777777" w:rsidR="00E76945" w:rsidRPr="00014D6D" w:rsidRDefault="00E76945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21E94F" w14:textId="77777777" w:rsidR="00E76945" w:rsidRPr="00014D6D" w:rsidRDefault="0012761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3B1DE703" wp14:editId="05343C34">
            <wp:extent cx="5760720" cy="6809105"/>
            <wp:effectExtent l="0" t="0" r="0" b="0"/>
            <wp:docPr id="1381141327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07933" w14:textId="77777777" w:rsidR="0012761D" w:rsidRPr="00014D6D" w:rsidRDefault="0012761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preculture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5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0 h, b) 24 h, c) 48 h, d) 72 h, e) 96 h.</w:t>
      </w:r>
    </w:p>
    <w:p w14:paraId="4536A33F" w14:textId="77777777" w:rsidR="00AC1DD1" w:rsidRPr="00014D6D" w:rsidRDefault="00AC1DD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217C54" w14:textId="77777777" w:rsidR="00CD0186" w:rsidRPr="00014D6D" w:rsidRDefault="007B4E9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lang w:eastAsia="pl-PL"/>
        </w:rPr>
        <w:lastRenderedPageBreak/>
        <w:drawing>
          <wp:inline distT="0" distB="0" distL="0" distR="0" wp14:anchorId="3FF64FC3" wp14:editId="675EC082">
            <wp:extent cx="5760720" cy="6784340"/>
            <wp:effectExtent l="0" t="0" r="0" b="0"/>
            <wp:docPr id="6110355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978F" w14:textId="77777777" w:rsidR="00AC1DD1" w:rsidRPr="00014D6D" w:rsidRDefault="00AC1DD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preculture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10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0 h, b) 24 h, c) 48 h, d) 72 h, e) 96 h.</w:t>
      </w:r>
    </w:p>
    <w:p w14:paraId="50E1F1C9" w14:textId="77777777" w:rsidR="008A36F1" w:rsidRPr="00014D6D" w:rsidRDefault="008A36F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0585A3" w14:textId="77777777" w:rsidR="008A36F1" w:rsidRPr="00014D6D" w:rsidRDefault="008A36F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390C1ECF" wp14:editId="2106AE0A">
            <wp:extent cx="5760720" cy="6801485"/>
            <wp:effectExtent l="0" t="0" r="0" b="0"/>
            <wp:docPr id="70586369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7AFA" w14:textId="77777777" w:rsidR="00201DE0" w:rsidRPr="00014D6D" w:rsidRDefault="008A36F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D4315E" w:rsidRPr="00014D6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microscopic images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morphological objects formed in a preculture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noBreakHyphen/>
        <w:t>inoculated bioreactor cultivation with 15 g L</w:t>
      </w:r>
      <w:r w:rsidRPr="00014D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addition (MPEC) at a) 0 h, b) 24 h, c)</w:t>
      </w:r>
      <w:r w:rsidR="00201DE0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48 h, d) 72 h, e) 96 h.</w:t>
      </w:r>
    </w:p>
    <w:p w14:paraId="4D4ED4F0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4BC870" w14:textId="77777777" w:rsidR="00586BC5" w:rsidRPr="00014D6D" w:rsidRDefault="00586BC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A5554F1" w14:textId="77777777" w:rsidR="009A767D" w:rsidRPr="00014D6D" w:rsidRDefault="009A767D" w:rsidP="00B66435">
      <w:pPr>
        <w:ind w:left="-851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  <w:lang w:eastAsia="pl-PL"/>
        </w:rPr>
        <w:lastRenderedPageBreak/>
        <w:drawing>
          <wp:inline distT="0" distB="0" distL="0" distR="0" wp14:anchorId="184F6A03" wp14:editId="39A2A74B">
            <wp:extent cx="6480000" cy="7685000"/>
            <wp:effectExtent l="0" t="0" r="0" b="0"/>
            <wp:docPr id="21097206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76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F28A7" w14:textId="77777777" w:rsidR="007658B6" w:rsidRPr="007658B6" w:rsidRDefault="009A767D" w:rsidP="007658B6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014D6D">
        <w:rPr>
          <w:rFonts w:ascii="Times New Roman" w:hAnsi="Times New Roman" w:cs="Times New Roman"/>
          <w:sz w:val="20"/>
          <w:szCs w:val="20"/>
          <w:lang w:val="en-US"/>
        </w:rPr>
        <w:t xml:space="preserve">Suppl. Fig. </w:t>
      </w:r>
      <w:r w:rsidR="0093143D" w:rsidRPr="00014D6D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7057FF" w:rsidRPr="00014D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3023" w:rsidRPr="00014D6D">
        <w:rPr>
          <w:rFonts w:ascii="Times New Roman" w:hAnsi="Times New Roman" w:cs="Times New Roman"/>
          <w:sz w:val="20"/>
          <w:szCs w:val="20"/>
          <w:lang w:val="en-GB"/>
        </w:rPr>
        <w:t>Changes of m</w:t>
      </w:r>
      <w:r w:rsidR="007057FF" w:rsidRPr="00014D6D">
        <w:rPr>
          <w:rFonts w:ascii="Times New Roman" w:hAnsi="Times New Roman" w:cs="Times New Roman"/>
          <w:sz w:val="20"/>
          <w:szCs w:val="20"/>
          <w:lang w:val="en-GB"/>
        </w:rPr>
        <w:t>orphological parameter</w:t>
      </w:r>
      <w:r w:rsidR="00F13023" w:rsidRPr="00014D6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7057FF" w:rsidRPr="00014D6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66435" w:rsidRPr="00014D6D">
        <w:rPr>
          <w:rFonts w:ascii="Times New Roman" w:hAnsi="Times New Roman" w:cs="Times New Roman"/>
          <w:sz w:val="20"/>
          <w:szCs w:val="20"/>
          <w:lang w:val="en-US"/>
        </w:rPr>
        <w:t>in relation to the overall process time</w:t>
      </w:r>
      <w:r w:rsidR="007057FF" w:rsidRPr="00014D6D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B66435" w:rsidRPr="00014D6D">
        <w:rPr>
          <w:rFonts w:ascii="Times New Roman" w:hAnsi="Times New Roman" w:cs="Times New Roman"/>
          <w:sz w:val="20"/>
          <w:szCs w:val="20"/>
          <w:lang w:val="en-GB"/>
        </w:rPr>
        <w:br/>
      </w:r>
      <w:r w:rsidR="007057FF" w:rsidRPr="00014D6D">
        <w:rPr>
          <w:rFonts w:ascii="Times New Roman" w:hAnsi="Times New Roman" w:cs="Times New Roman"/>
          <w:sz w:val="20"/>
          <w:szCs w:val="20"/>
          <w:lang w:val="en-GB"/>
        </w:rPr>
        <w:t xml:space="preserve">a) projected area in the spore-inoculated cultivations, b) projected area in the preculture-inoculated cultivations, c) morphology number in the spore-inoculated cultivations, d) morphology number in the preculture-inoculated cultivations, e) roughness in the spore-inoculated cultivations, f) roughness in the preculture-inoculated cultivations. Error bars represent confidence bands calculated from three independent replications. </w:t>
      </w:r>
      <w:r w:rsidR="007658B6" w:rsidRPr="007658B6">
        <w:rPr>
          <w:rFonts w:ascii="Times New Roman" w:hAnsi="Times New Roman" w:cs="Times New Roman"/>
          <w:sz w:val="20"/>
          <w:szCs w:val="20"/>
          <w:lang w:val="en-GB"/>
        </w:rPr>
        <w:t>As the values of the morphological parameters differed to the high extent, the ranges of y</w:t>
      </w:r>
      <w:r w:rsidR="007658B6" w:rsidRPr="007658B6">
        <w:rPr>
          <w:rFonts w:ascii="Times New Roman" w:hAnsi="Times New Roman" w:cs="Times New Roman"/>
          <w:sz w:val="20"/>
          <w:szCs w:val="20"/>
          <w:lang w:val="en-GB"/>
        </w:rPr>
        <w:noBreakHyphen/>
        <w:t>axis are not the same in the panels for better visualization of the data.</w:t>
      </w:r>
    </w:p>
    <w:p w14:paraId="48C63AAC" w14:textId="4AE77C10" w:rsidR="00EF1FB3" w:rsidRPr="007658B6" w:rsidRDefault="00EF1FB3" w:rsidP="007658B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7C5B46B" w14:textId="77777777" w:rsidR="00826F31" w:rsidRPr="00014D6D" w:rsidRDefault="00826F31" w:rsidP="004803D3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D6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F8B68C" wp14:editId="737FEB94">
            <wp:extent cx="5760720" cy="2700020"/>
            <wp:effectExtent l="0" t="0" r="0" b="5080"/>
            <wp:docPr id="3337255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6833" w14:textId="77777777" w:rsidR="00826F31" w:rsidRPr="00014D6D" w:rsidRDefault="00826F31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93143D" w:rsidRPr="00014D6D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B6097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Time profiles of pH during </w:t>
      </w:r>
      <w:r w:rsidR="007B6097"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="007B6097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cultivation in a) spo</w:t>
      </w:r>
      <w:r w:rsidR="00CA693C" w:rsidRPr="00014D6D">
        <w:rPr>
          <w:rFonts w:ascii="Times New Roman" w:hAnsi="Times New Roman" w:cs="Times New Roman"/>
          <w:sz w:val="24"/>
          <w:szCs w:val="24"/>
          <w:lang w:val="en-US"/>
        </w:rPr>
        <w:t>re-inoculated and b) preculture-</w:t>
      </w:r>
      <w:r w:rsidR="007B6097" w:rsidRPr="00014D6D">
        <w:rPr>
          <w:rFonts w:ascii="Times New Roman" w:hAnsi="Times New Roman" w:cs="Times New Roman"/>
          <w:sz w:val="24"/>
          <w:szCs w:val="24"/>
          <w:lang w:val="en-US"/>
        </w:rPr>
        <w:t>inoculated conducted in a bioreactor supplemented with different concentrations of Al</w:t>
      </w:r>
      <w:r w:rsidR="007B6097"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B6097" w:rsidRPr="00014D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B6097" w:rsidRPr="00014D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F556C22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B2214B7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818B72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5CF5B86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F6E59E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D3B23E" w14:textId="77777777" w:rsidR="00EF1FB3" w:rsidRPr="00014D6D" w:rsidRDefault="00EF1F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469D82F" w14:textId="77777777" w:rsidR="00EF1FB3" w:rsidRPr="00014D6D" w:rsidRDefault="00EF1FB3" w:rsidP="004803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9726AA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D6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D7D7AFD" wp14:editId="21E3F6E2">
            <wp:extent cx="5760720" cy="3991610"/>
            <wp:effectExtent l="0" t="0" r="0" b="8890"/>
            <wp:docPr id="20754681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32C50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Suppl. Fig. </w:t>
      </w:r>
      <w:r w:rsidR="0093143D" w:rsidRPr="00014D6D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Time profiles of </w:t>
      </w:r>
      <w:r w:rsidRPr="00014D6D">
        <w:rPr>
          <w:rFonts w:ascii="Times New Roman" w:hAnsi="Times New Roman" w:cs="Times New Roman"/>
          <w:i/>
          <w:iCs/>
          <w:sz w:val="24"/>
          <w:szCs w:val="24"/>
          <w:lang w:val="en-US"/>
        </w:rPr>
        <w:t>S. rimosus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dry biomass concentration in a) spore-inoculated and b) preculture-inoculated cultivations conducted in bioreactors. Error bars represent confidence </w:t>
      </w:r>
      <w:r w:rsidR="00167388" w:rsidRPr="00014D6D">
        <w:rPr>
          <w:rFonts w:ascii="Times New Roman" w:hAnsi="Times New Roman" w:cs="Times New Roman"/>
          <w:sz w:val="24"/>
          <w:szCs w:val="24"/>
          <w:lang w:val="en-US"/>
        </w:rPr>
        <w:t>bands</w:t>
      </w:r>
      <w:r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calculated from three independent replicates.</w:t>
      </w:r>
    </w:p>
    <w:p w14:paraId="14B7C9EA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9C9C91B" w14:textId="77777777" w:rsidR="0093143D" w:rsidRPr="00014D6D" w:rsidRDefault="0093143D" w:rsidP="004803D3">
      <w:pPr>
        <w:jc w:val="center"/>
        <w:rPr>
          <w:sz w:val="24"/>
          <w:szCs w:val="24"/>
          <w:lang w:val="en-US"/>
        </w:rPr>
      </w:pPr>
    </w:p>
    <w:p w14:paraId="7D350C5D" w14:textId="77777777" w:rsidR="00D4315E" w:rsidRPr="00014D6D" w:rsidRDefault="00D4315E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2839C7" w14:textId="6F91E9A4" w:rsidR="00CD0186" w:rsidRPr="00014D6D" w:rsidRDefault="009045D4" w:rsidP="009045D4">
      <w:pPr>
        <w:ind w:lef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</w:rPr>
        <w:lastRenderedPageBreak/>
        <w:drawing>
          <wp:inline distT="0" distB="0" distL="0" distR="0" wp14:anchorId="06777B17" wp14:editId="31835462">
            <wp:extent cx="6480000" cy="4772143"/>
            <wp:effectExtent l="0" t="0" r="0" b="0"/>
            <wp:docPr id="15843493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77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7A02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>Suppl. Fig. 12</w:t>
      </w:r>
      <w:r w:rsidR="00DB741A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Biomass-normalised 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temporal changes of the concentrations of a) oxytetracycline in the spore-inoculated cultivations and b) oxytetracycline in the preculture-inoculated cultivations; temporal changes of the LC–MS peak areas of c)  ADOTC in the spore-inoculated cultivations and d) ADOTC in the preculture-inoculated cultivations. Error bars represent confidence bands calculated from three independent replications. As the signals of metabolites differed to the high extent, the ranges of y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noBreakHyphen/>
        <w:t>axis are not the same in the panels for better visualization of the data.</w:t>
      </w:r>
    </w:p>
    <w:p w14:paraId="1A7E7C2A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16E1E25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871E78" w14:textId="51985155" w:rsidR="0093143D" w:rsidRPr="00014D6D" w:rsidRDefault="009045D4" w:rsidP="009045D4">
      <w:pPr>
        <w:ind w:left="-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</w:rPr>
        <w:lastRenderedPageBreak/>
        <w:drawing>
          <wp:inline distT="0" distB="0" distL="0" distR="0" wp14:anchorId="0F640FF8" wp14:editId="6364EA74">
            <wp:extent cx="7020000" cy="5399642"/>
            <wp:effectExtent l="0" t="0" r="0" b="0"/>
            <wp:docPr id="1578731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53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8E82A" w14:textId="77777777" w:rsidR="00DB741A" w:rsidRPr="00014D6D" w:rsidRDefault="0093143D" w:rsidP="00DB741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>Suppl. Fig. 13</w:t>
      </w:r>
      <w:r w:rsidR="00DB741A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Biomass-normalised 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temporal changes of the concentrations of a)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enaminomycin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B in the spore-inoculated cultivations, b)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enaminomycin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B  in the preculture-inoculated cultivations, c) 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spinoxazine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A in the spore-inoculated cultivations, d)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spinoxazine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A in the preculture-inoculated cultivations, e)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lorneic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acid J in the spore-inoculated cultivations, f) </w:t>
      </w:r>
      <w:proofErr w:type="spellStart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lorneic</w:t>
      </w:r>
      <w:proofErr w:type="spellEnd"/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acid J in the preculture-inoculated cultivations. Error bars represent confidence bands calculated from three independent replications. As the signals of metabolites differed to the high extent, the ranges of y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noBreakHyphen/>
        <w:t>axis are not the same in the panels for better visualization of the data.</w:t>
      </w:r>
    </w:p>
    <w:p w14:paraId="54DF8154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D7146EA" w14:textId="77777777" w:rsidR="00DD011B" w:rsidRPr="00014D6D" w:rsidRDefault="00DD011B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DBA38DB" w14:textId="77777777" w:rsidR="00DD011B" w:rsidRPr="00014D6D" w:rsidRDefault="00DD011B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C23E5BB" w14:textId="5413CBE6" w:rsidR="00DD011B" w:rsidRPr="00014D6D" w:rsidRDefault="009045D4" w:rsidP="009045D4">
      <w:pPr>
        <w:ind w:left="-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</w:rPr>
        <w:lastRenderedPageBreak/>
        <w:drawing>
          <wp:inline distT="0" distB="0" distL="0" distR="0" wp14:anchorId="28B876B0" wp14:editId="4E746C20">
            <wp:extent cx="6480000" cy="4832143"/>
            <wp:effectExtent l="0" t="0" r="0" b="0"/>
            <wp:docPr id="64798489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3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0E4F0" w14:textId="77777777" w:rsidR="00DB741A" w:rsidRPr="00014D6D" w:rsidRDefault="00DD011B" w:rsidP="00DB741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>Suppl. Fig. 14</w:t>
      </w:r>
      <w:r w:rsidR="00DB741A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Biomass-normalised 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temporal changes of the concentrations of a) rimocidin in the spore-inoculated cultivations, b) rimocidin in the preculture-inoculated cultivations, c) rimocidin CE-108 in the spore-inoculated cultivations, d) rimocidin CE-108 in the preculture-inoculated cultivations. Error bars represent confidence bands calculated from three independent replications. As the signals of metabolites differed to the high extent, the ranges of y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noBreakHyphen/>
        <w:t>axis are not the same in the panels for better visualization of the data.</w:t>
      </w:r>
    </w:p>
    <w:p w14:paraId="66CBB941" w14:textId="77777777" w:rsidR="00DD011B" w:rsidRPr="00014D6D" w:rsidRDefault="00DD011B" w:rsidP="00DD011B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08EEC4C" w14:textId="77777777" w:rsidR="00DD011B" w:rsidRPr="00014D6D" w:rsidRDefault="00DD011B" w:rsidP="00DD011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5C51AF0" w14:textId="45A72654" w:rsidR="009045D4" w:rsidRPr="00014D6D" w:rsidRDefault="009045D4" w:rsidP="009045D4">
      <w:pPr>
        <w:ind w:lef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D6D">
        <w:rPr>
          <w:noProof/>
        </w:rPr>
        <w:lastRenderedPageBreak/>
        <w:drawing>
          <wp:inline distT="0" distB="0" distL="0" distR="0" wp14:anchorId="4F3287EC" wp14:editId="4D158AA3">
            <wp:extent cx="6480000" cy="4682143"/>
            <wp:effectExtent l="0" t="0" r="0" b="0"/>
            <wp:docPr id="41857341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6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837C" w14:textId="77777777" w:rsidR="00DB741A" w:rsidRPr="00014D6D" w:rsidRDefault="00DD011B" w:rsidP="00DB741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14D6D">
        <w:rPr>
          <w:rFonts w:ascii="Times New Roman" w:hAnsi="Times New Roman" w:cs="Times New Roman"/>
          <w:sz w:val="24"/>
          <w:szCs w:val="24"/>
          <w:lang w:val="en-US"/>
        </w:rPr>
        <w:t>Suppl. Fig. 15</w:t>
      </w:r>
      <w:r w:rsidR="00DB741A" w:rsidRPr="00014D6D">
        <w:rPr>
          <w:rFonts w:ascii="Times New Roman" w:hAnsi="Times New Roman" w:cs="Times New Roman"/>
          <w:sz w:val="24"/>
          <w:szCs w:val="24"/>
          <w:lang w:val="en-US"/>
        </w:rPr>
        <w:t xml:space="preserve"> Biomass-normalised 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>temporal changes of the concentrations of a) milbemycin A</w:t>
      </w:r>
      <w:r w:rsidR="00DB741A" w:rsidRPr="00014D6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in the spore-inoculated cultivations, b) milbemycin A</w:t>
      </w:r>
      <w:r w:rsidR="00DB741A" w:rsidRPr="00014D6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in the preculture-inoculated cultivations, c) milbemycin β</w:t>
      </w:r>
      <w:r w:rsidR="00DB741A" w:rsidRPr="00014D6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11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in the spore-inoculated cultivations, d) milbemycin β</w:t>
      </w:r>
      <w:r w:rsidR="00DB741A" w:rsidRPr="00014D6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11</w:t>
      </w:r>
      <w:r w:rsidR="00DB741A" w:rsidRPr="00014D6D">
        <w:rPr>
          <w:rFonts w:ascii="Times New Roman" w:hAnsi="Times New Roman" w:cs="Times New Roman"/>
          <w:sz w:val="24"/>
          <w:szCs w:val="24"/>
          <w:lang w:val="en-GB"/>
        </w:rPr>
        <w:t xml:space="preserve"> in the preculture-inoculated cultivations. Error bars represent confidence bands calculated from three independent replications.</w:t>
      </w:r>
    </w:p>
    <w:p w14:paraId="45FF0031" w14:textId="77777777" w:rsidR="00DD011B" w:rsidRPr="00014D6D" w:rsidRDefault="00DD011B" w:rsidP="00DB741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2B730F7" w14:textId="77777777" w:rsidR="0093143D" w:rsidRPr="00014D6D" w:rsidRDefault="0093143D" w:rsidP="004803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3143D" w:rsidRPr="00014D6D" w:rsidSect="00015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89"/>
    <w:rsid w:val="00014D6D"/>
    <w:rsid w:val="000157A8"/>
    <w:rsid w:val="000B7B11"/>
    <w:rsid w:val="00103FDF"/>
    <w:rsid w:val="001117F5"/>
    <w:rsid w:val="0012761D"/>
    <w:rsid w:val="00151709"/>
    <w:rsid w:val="00167388"/>
    <w:rsid w:val="00181569"/>
    <w:rsid w:val="001D6EDD"/>
    <w:rsid w:val="00201DE0"/>
    <w:rsid w:val="0022709F"/>
    <w:rsid w:val="002A401D"/>
    <w:rsid w:val="002C3404"/>
    <w:rsid w:val="00302689"/>
    <w:rsid w:val="003373DB"/>
    <w:rsid w:val="003F5BE8"/>
    <w:rsid w:val="00436518"/>
    <w:rsid w:val="004803D3"/>
    <w:rsid w:val="004C591B"/>
    <w:rsid w:val="004F253C"/>
    <w:rsid w:val="00522C16"/>
    <w:rsid w:val="00586BC5"/>
    <w:rsid w:val="005C144D"/>
    <w:rsid w:val="005C2835"/>
    <w:rsid w:val="005D1E14"/>
    <w:rsid w:val="005E0108"/>
    <w:rsid w:val="005E6562"/>
    <w:rsid w:val="006445B7"/>
    <w:rsid w:val="00695DAD"/>
    <w:rsid w:val="007057FF"/>
    <w:rsid w:val="007658B6"/>
    <w:rsid w:val="007B4E9E"/>
    <w:rsid w:val="007B6097"/>
    <w:rsid w:val="00826F31"/>
    <w:rsid w:val="00896E79"/>
    <w:rsid w:val="008A36F1"/>
    <w:rsid w:val="008A5D4E"/>
    <w:rsid w:val="008C4D65"/>
    <w:rsid w:val="008E130C"/>
    <w:rsid w:val="008F5939"/>
    <w:rsid w:val="009045D4"/>
    <w:rsid w:val="0093143D"/>
    <w:rsid w:val="009A767D"/>
    <w:rsid w:val="009B42A5"/>
    <w:rsid w:val="009C0770"/>
    <w:rsid w:val="00A055C2"/>
    <w:rsid w:val="00A4154B"/>
    <w:rsid w:val="00A526F2"/>
    <w:rsid w:val="00A6499E"/>
    <w:rsid w:val="00AC1DD1"/>
    <w:rsid w:val="00AC7DAD"/>
    <w:rsid w:val="00B66435"/>
    <w:rsid w:val="00BA4DA9"/>
    <w:rsid w:val="00BB2220"/>
    <w:rsid w:val="00C01983"/>
    <w:rsid w:val="00C16EEA"/>
    <w:rsid w:val="00C41FFF"/>
    <w:rsid w:val="00C80736"/>
    <w:rsid w:val="00CA693C"/>
    <w:rsid w:val="00CD0186"/>
    <w:rsid w:val="00CF35DE"/>
    <w:rsid w:val="00D4315E"/>
    <w:rsid w:val="00D723EA"/>
    <w:rsid w:val="00D7530D"/>
    <w:rsid w:val="00D82EB7"/>
    <w:rsid w:val="00DB741A"/>
    <w:rsid w:val="00DD011B"/>
    <w:rsid w:val="00E60180"/>
    <w:rsid w:val="00E76945"/>
    <w:rsid w:val="00E91B38"/>
    <w:rsid w:val="00EB0734"/>
    <w:rsid w:val="00EF1FB3"/>
    <w:rsid w:val="00F04EEC"/>
    <w:rsid w:val="00F13023"/>
    <w:rsid w:val="00F2279F"/>
    <w:rsid w:val="00F4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5EFD"/>
  <w15:docId w15:val="{656D6180-8A23-4D4A-B808-20DC57B1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7A8"/>
  </w:style>
  <w:style w:type="paragraph" w:styleId="Nagwek1">
    <w:name w:val="heading 1"/>
    <w:basedOn w:val="Normalny"/>
    <w:next w:val="Normalny"/>
    <w:link w:val="Nagwek1Znak"/>
    <w:uiPriority w:val="9"/>
    <w:qFormat/>
    <w:rsid w:val="008E130C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130C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color w:val="0F4761" w:themeColor="accent1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130C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130C"/>
    <w:rPr>
      <w:rFonts w:ascii="Times New Roman" w:eastAsiaTheme="majorEastAsia" w:hAnsi="Times New Roman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8E130C"/>
    <w:pPr>
      <w:spacing w:after="0" w:line="360" w:lineRule="auto"/>
      <w:contextualSpacing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130C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130C"/>
    <w:pPr>
      <w:numPr>
        <w:ilvl w:val="1"/>
      </w:numPr>
      <w:spacing w:line="360" w:lineRule="auto"/>
    </w:pPr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E130C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130C"/>
    <w:rPr>
      <w:rFonts w:ascii="Times New Roman" w:eastAsiaTheme="majorEastAsia" w:hAnsi="Times New Roman" w:cstheme="majorBidi"/>
      <w:color w:val="0F4761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130C"/>
    <w:rPr>
      <w:rFonts w:ascii="Times New Roman" w:eastAsiaTheme="majorEastAsia" w:hAnsi="Times New Roman" w:cstheme="majorBidi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6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6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6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6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6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689"/>
    <w:rPr>
      <w:rFonts w:eastAsiaTheme="majorEastAsia" w:cstheme="majorBidi"/>
      <w:color w:val="272727" w:themeColor="text1" w:themeTint="D8"/>
    </w:rPr>
  </w:style>
  <w:style w:type="paragraph" w:styleId="Cytat">
    <w:name w:val="Quote"/>
    <w:basedOn w:val="Normalny"/>
    <w:next w:val="Normalny"/>
    <w:link w:val="CytatZnak"/>
    <w:uiPriority w:val="29"/>
    <w:qFormat/>
    <w:rsid w:val="0030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26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26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26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6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268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C4D6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tiff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Ścigaczewska K92</dc:creator>
  <cp:keywords/>
  <dc:description/>
  <cp:lastModifiedBy>Anna Ścigaczewska K92</cp:lastModifiedBy>
  <cp:revision>4</cp:revision>
  <dcterms:created xsi:type="dcterms:W3CDTF">2026-07-15T06:13:00Z</dcterms:created>
  <dcterms:modified xsi:type="dcterms:W3CDTF">2026-07-15T07:32:00Z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74daa7c4-c7d8-4cd9-8f3e-5c1ebd3ff8a8</vt:lpwstr>
  </property>
</Properties>
</file>