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D19468" w14:textId="77777777" w:rsidR="00990839" w:rsidRDefault="00990839" w:rsidP="00990839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24419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Similar systemic but differential vaginal soluble mediator levels in injectable contraceptive users and impact of study site and STI prevalence</w:t>
      </w:r>
    </w:p>
    <w:p w14:paraId="4A3C6479" w14:textId="77777777" w:rsidR="00990839" w:rsidRPr="00220563" w:rsidRDefault="00990839" w:rsidP="00990839">
      <w:pPr>
        <w:spacing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Alexis J. Bick</w:t>
      </w:r>
      <w:proofErr w:type="gramStart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,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#</w:t>
      </w:r>
      <w:proofErr w:type="gramEnd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 Chanel Avenant</w:t>
      </w:r>
      <w:proofErr w:type="gramStart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,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#</w:t>
      </w:r>
      <w:proofErr w:type="gramEnd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Sigcinile</w:t>
      </w:r>
      <w:proofErr w:type="spellEnd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Dlamini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1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Johnson </w:t>
      </w:r>
      <w:proofErr w:type="spellStart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Mosoko</w:t>
      </w:r>
      <w:proofErr w:type="spellEnd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Moliki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1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Natalie Dicks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1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Elizna</w:t>
      </w:r>
      <w:proofErr w:type="spellEnd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Maasdorp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2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proofErr w:type="spellStart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Léanie</w:t>
      </w:r>
      <w:proofErr w:type="spellEnd"/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Kleynhans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3</w:t>
      </w:r>
      <w:r w:rsidRPr="006F6C09">
        <w:rPr>
          <w:rFonts w:ascii="Times New Roman" w:hAnsi="Times New Roman"/>
          <w:color w:val="000000"/>
          <w:sz w:val="24"/>
          <w:bdr w:val="none" w:sz="0" w:space="0" w:color="auto" w:frame="1"/>
          <w:shd w:val="clear" w:color="auto" w:fill="FFFFFF"/>
          <w:vertAlign w:val="superscript"/>
        </w:rPr>
        <w:t>,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4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 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Jenni Smit</w:t>
      </w:r>
      <w:r w:rsidRPr="00935D0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G. Justus Hofmeyr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6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,7,8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Charles Morrison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9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 </w:t>
      </w:r>
      <w:r w:rsidRPr="00D24419">
        <w:rPr>
          <w:rFonts w:ascii="Times New Roman" w:eastAsia="Times New Roman" w:hAnsi="Times New Roman" w:cs="Times New Roman"/>
          <w:color w:val="000000"/>
          <w:sz w:val="24"/>
          <w:szCs w:val="24"/>
        </w:rPr>
        <w:t>Yu Hsin Tang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, 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Pai-Lien Chen</w:t>
      </w:r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10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, Janet P. Hapgood</w:t>
      </w:r>
      <w:r w:rsidRPr="0022056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1,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11,*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vertAlign w:val="superscript"/>
        </w:rPr>
        <w:t>, #</w:t>
      </w:r>
    </w:p>
    <w:p w14:paraId="3E874F18" w14:textId="77777777" w:rsidR="00731F73" w:rsidRPr="00220563" w:rsidRDefault="00731F73" w:rsidP="00731F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63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20563">
        <w:rPr>
          <w:rFonts w:ascii="Times New Roman" w:hAnsi="Times New Roman" w:cs="Times New Roman"/>
          <w:sz w:val="24"/>
          <w:szCs w:val="24"/>
        </w:rPr>
        <w:t>Department of Molecular and Cell Biology, University of Cape Town, Cape Town, South Africa</w:t>
      </w:r>
    </w:p>
    <w:p w14:paraId="67F22D6C" w14:textId="77777777" w:rsidR="00731F73" w:rsidRPr="00220563" w:rsidRDefault="00731F73" w:rsidP="00731F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056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2</w:t>
      </w:r>
      <w:r w:rsidRPr="00830DB9">
        <w:rPr>
          <w:rFonts w:ascii="Times New Roman" w:hAnsi="Times New Roman" w:cs="Times New Roman"/>
          <w:sz w:val="24"/>
          <w:szCs w:val="24"/>
        </w:rPr>
        <w:t>DSI-NRF Centre of Excellence for Biomedical Tuberculosis Research, Division of Immunology, Faculty of Medicine and Health Sciences, Stellenbosch University, Cape Town, South Africa; School for Data Science and Computational Thinking, Stellenbosch University, Cape Town, South Africa; Centre for Bioinformatics and Computational Biology, Stellenbosch University, Cape Town, South Africa</w:t>
      </w:r>
    </w:p>
    <w:p w14:paraId="50C5830B" w14:textId="77777777" w:rsidR="00731F73" w:rsidRPr="00220563" w:rsidRDefault="00731F73" w:rsidP="00731F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563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3</w:t>
      </w:r>
      <w:r w:rsidRPr="00220563">
        <w:rPr>
          <w:rFonts w:ascii="Times New Roman" w:hAnsi="Times New Roman" w:cs="Times New Roman"/>
          <w:color w:val="000000"/>
          <w:sz w:val="24"/>
          <w:szCs w:val="24"/>
        </w:rPr>
        <w:t>Mater Research Institute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</w:t>
      </w:r>
      <w:r w:rsidRPr="00220563">
        <w:rPr>
          <w:rFonts w:ascii="Times New Roman" w:hAnsi="Times New Roman" w:cs="Times New Roman"/>
          <w:color w:val="000000"/>
          <w:sz w:val="24"/>
          <w:szCs w:val="24"/>
        </w:rPr>
        <w:t xml:space="preserve"> The University of Queensland,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Translational Research Institute, </w:t>
      </w:r>
      <w:r w:rsidRPr="00220563">
        <w:rPr>
          <w:rFonts w:ascii="Times New Roman" w:hAnsi="Times New Roman" w:cs="Times New Roman"/>
          <w:color w:val="000000"/>
          <w:sz w:val="24"/>
          <w:szCs w:val="24"/>
        </w:rPr>
        <w:t>Brisbane, Australia</w:t>
      </w:r>
    </w:p>
    <w:p w14:paraId="44410BAC" w14:textId="77777777" w:rsidR="00731F73" w:rsidRDefault="00731F73" w:rsidP="00731F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23FF4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4</w:t>
      </w:r>
      <w:r w:rsidRPr="00323FF4">
        <w:rPr>
          <w:rFonts w:ascii="Times New Roman" w:hAnsi="Times New Roman" w:cs="Times New Roman"/>
          <w:color w:val="000000"/>
          <w:sz w:val="24"/>
          <w:szCs w:val="24"/>
        </w:rPr>
        <w:t>DSI-NRF Centre of Excellence for Biomedical Tuberculosis Research, 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outh </w:t>
      </w:r>
      <w:r w:rsidRPr="00323FF4">
        <w:rPr>
          <w:rFonts w:ascii="Times New Roman" w:hAnsi="Times New Roman" w:cs="Times New Roman"/>
          <w:color w:val="000000"/>
          <w:sz w:val="24"/>
          <w:szCs w:val="24"/>
        </w:rPr>
        <w:t>A</w:t>
      </w:r>
      <w:r>
        <w:rPr>
          <w:rFonts w:ascii="Times New Roman" w:hAnsi="Times New Roman" w:cs="Times New Roman"/>
          <w:color w:val="000000"/>
          <w:sz w:val="24"/>
          <w:szCs w:val="24"/>
        </w:rPr>
        <w:t>frican</w:t>
      </w:r>
      <w:r w:rsidRPr="00323FF4">
        <w:rPr>
          <w:rFonts w:ascii="Times New Roman" w:hAnsi="Times New Roman" w:cs="Times New Roman"/>
          <w:color w:val="000000"/>
          <w:sz w:val="24"/>
          <w:szCs w:val="24"/>
        </w:rPr>
        <w:t xml:space="preserve"> M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edical </w:t>
      </w:r>
      <w:r w:rsidRPr="00323FF4">
        <w:rPr>
          <w:rFonts w:ascii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esearch </w:t>
      </w:r>
      <w:r w:rsidRPr="00323FF4">
        <w:rPr>
          <w:rFonts w:ascii="Times New Roman" w:hAnsi="Times New Roman" w:cs="Times New Roman"/>
          <w:color w:val="000000"/>
          <w:sz w:val="24"/>
          <w:szCs w:val="24"/>
        </w:rPr>
        <w:t>C</w:t>
      </w:r>
      <w:r>
        <w:rPr>
          <w:rFonts w:ascii="Times New Roman" w:hAnsi="Times New Roman" w:cs="Times New Roman"/>
          <w:color w:val="000000"/>
          <w:sz w:val="24"/>
          <w:szCs w:val="24"/>
        </w:rPr>
        <w:t>ouncil</w:t>
      </w:r>
      <w:r w:rsidRPr="00323FF4">
        <w:rPr>
          <w:rFonts w:ascii="Times New Roman" w:hAnsi="Times New Roman" w:cs="Times New Roman"/>
          <w:color w:val="000000"/>
          <w:sz w:val="24"/>
          <w:szCs w:val="24"/>
        </w:rPr>
        <w:t xml:space="preserve"> Centre for T</w:t>
      </w:r>
      <w:r>
        <w:rPr>
          <w:rFonts w:ascii="Times New Roman" w:hAnsi="Times New Roman" w:cs="Times New Roman"/>
          <w:color w:val="000000"/>
          <w:sz w:val="24"/>
          <w:szCs w:val="24"/>
        </w:rPr>
        <w:t>uberculosis</w:t>
      </w:r>
      <w:r w:rsidRPr="00323FF4">
        <w:rPr>
          <w:rFonts w:ascii="Times New Roman" w:hAnsi="Times New Roman" w:cs="Times New Roman"/>
          <w:color w:val="000000"/>
          <w:sz w:val="24"/>
          <w:szCs w:val="24"/>
        </w:rPr>
        <w:t xml:space="preserve"> Research, Division of Molecular Biology and Human Genetics, Faculty of Medicine and Health Sciences, Stellenbosch University, Cape Town, South Africa</w:t>
      </w:r>
    </w:p>
    <w:p w14:paraId="0E6994B0" w14:textId="77777777" w:rsidR="00731F73" w:rsidRPr="00220563" w:rsidRDefault="00731F73" w:rsidP="00731F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1584F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Wits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MatCH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Research Unit (MRU), Faculty of Health Sciences, Department of Obstetrics and Gynaecology, University of the Witwatersrand, Durban, South Africa</w:t>
      </w:r>
    </w:p>
    <w:p w14:paraId="0379D731" w14:textId="77777777" w:rsidR="00731F73" w:rsidRPr="00220563" w:rsidRDefault="00731F73" w:rsidP="00731F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6</w:t>
      </w:r>
      <w:r w:rsidRPr="00220563">
        <w:rPr>
          <w:rFonts w:ascii="Times New Roman" w:hAnsi="Times New Roman" w:cs="Times New Roman"/>
          <w:color w:val="000000"/>
          <w:sz w:val="24"/>
          <w:szCs w:val="24"/>
        </w:rPr>
        <w:t>Effective Care Research Unit, Eastern Cape Department of Health / Universities of the Witwatersrand and Fort Hare, East London, South Africa</w:t>
      </w:r>
    </w:p>
    <w:p w14:paraId="74412F91" w14:textId="77777777" w:rsidR="00731F73" w:rsidRPr="00220563" w:rsidRDefault="00731F73" w:rsidP="00731F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7</w:t>
      </w:r>
      <w:r w:rsidRPr="00220563">
        <w:rPr>
          <w:rFonts w:ascii="Times New Roman" w:hAnsi="Times New Roman" w:cs="Times New Roman"/>
          <w:color w:val="000000"/>
          <w:sz w:val="24"/>
          <w:szCs w:val="24"/>
        </w:rPr>
        <w:t>Walter Sisulu University, East London, South Africa</w:t>
      </w:r>
    </w:p>
    <w:p w14:paraId="03CAB36F" w14:textId="77777777" w:rsidR="00731F73" w:rsidRPr="00220563" w:rsidRDefault="00731F73" w:rsidP="00731F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lastRenderedPageBreak/>
        <w:t>8</w:t>
      </w:r>
      <w:r w:rsidRPr="00220563">
        <w:rPr>
          <w:rFonts w:ascii="Times New Roman" w:hAnsi="Times New Roman" w:cs="Times New Roman"/>
          <w:color w:val="000000"/>
          <w:sz w:val="24"/>
          <w:szCs w:val="24"/>
        </w:rPr>
        <w:t xml:space="preserve">Department of Obstetrics and </w:t>
      </w:r>
      <w:proofErr w:type="spellStart"/>
      <w:r w:rsidRPr="00220563">
        <w:rPr>
          <w:rFonts w:ascii="Times New Roman" w:hAnsi="Times New Roman" w:cs="Times New Roman"/>
          <w:color w:val="000000"/>
          <w:sz w:val="24"/>
          <w:szCs w:val="24"/>
        </w:rPr>
        <w:t>Gynecology</w:t>
      </w:r>
      <w:proofErr w:type="spellEnd"/>
      <w:r w:rsidRPr="00220563">
        <w:rPr>
          <w:rFonts w:ascii="Times New Roman" w:hAnsi="Times New Roman" w:cs="Times New Roman"/>
          <w:color w:val="000000"/>
          <w:sz w:val="24"/>
          <w:szCs w:val="24"/>
        </w:rPr>
        <w:t>, University of Botswana, Gaborone, Botswana</w:t>
      </w:r>
    </w:p>
    <w:p w14:paraId="12525037" w14:textId="77777777" w:rsidR="00731F73" w:rsidRPr="00220563" w:rsidRDefault="00731F73" w:rsidP="00731F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 w:rsidRPr="00220563">
        <w:rPr>
          <w:rFonts w:ascii="Times New Roman" w:hAnsi="Times New Roman" w:cs="Times New Roman"/>
          <w:sz w:val="24"/>
          <w:szCs w:val="24"/>
        </w:rPr>
        <w:t>Independent Consultant, Chapel Hill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20563">
        <w:rPr>
          <w:rFonts w:ascii="Times New Roman" w:hAnsi="Times New Roman" w:cs="Times New Roman"/>
          <w:sz w:val="24"/>
          <w:szCs w:val="24"/>
        </w:rPr>
        <w:t xml:space="preserve"> North Carolina, USA</w:t>
      </w:r>
    </w:p>
    <w:p w14:paraId="7ADC0BDE" w14:textId="77777777" w:rsidR="00731F73" w:rsidRPr="00220563" w:rsidRDefault="00731F73" w:rsidP="00731F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Pr="00220563">
        <w:rPr>
          <w:rFonts w:ascii="Times New Roman" w:hAnsi="Times New Roman" w:cs="Times New Roman"/>
          <w:sz w:val="24"/>
          <w:szCs w:val="24"/>
        </w:rPr>
        <w:t>Family Health International (FHI) 360, Durham, North Carolina, USA</w:t>
      </w:r>
    </w:p>
    <w:p w14:paraId="66C04533" w14:textId="77777777" w:rsidR="00731F73" w:rsidRPr="00220563" w:rsidRDefault="00731F73" w:rsidP="00731F73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11</w:t>
      </w:r>
      <w:r w:rsidRPr="00220563">
        <w:rPr>
          <w:rFonts w:ascii="Times New Roman" w:hAnsi="Times New Roman" w:cs="Times New Roman"/>
          <w:sz w:val="24"/>
          <w:szCs w:val="24"/>
        </w:rPr>
        <w:t>Institute of Infectious Disease and Molecular Medicine, University of Cape Town, Cape Town, South Africa</w:t>
      </w:r>
    </w:p>
    <w:p w14:paraId="78CF8BF6" w14:textId="77777777" w:rsidR="00990839" w:rsidRDefault="00990839">
      <w:pPr>
        <w:rPr>
          <w:rFonts w:ascii="Times New Roman" w:hAnsi="Times New Roman" w:cs="Times New Roman"/>
          <w:b/>
          <w:bCs/>
        </w:rPr>
      </w:pPr>
    </w:p>
    <w:p w14:paraId="5C3983E8" w14:textId="711CCC1E" w:rsidR="00592EAF" w:rsidRPr="00024C1E" w:rsidRDefault="0097115D">
      <w:pPr>
        <w:rPr>
          <w:rFonts w:ascii="Times New Roman" w:hAnsi="Times New Roman" w:cs="Times New Roman"/>
          <w:b/>
          <w:bCs/>
        </w:rPr>
      </w:pPr>
      <w:r w:rsidRPr="00024C1E">
        <w:rPr>
          <w:rFonts w:ascii="Times New Roman" w:hAnsi="Times New Roman" w:cs="Times New Roman"/>
          <w:b/>
          <w:bCs/>
        </w:rPr>
        <w:t>SUPP</w:t>
      </w:r>
      <w:r w:rsidR="00CB4C27" w:rsidRPr="00024C1E">
        <w:rPr>
          <w:rFonts w:ascii="Times New Roman" w:hAnsi="Times New Roman" w:cs="Times New Roman"/>
          <w:b/>
          <w:bCs/>
        </w:rPr>
        <w:t>LEMENTARY</w:t>
      </w:r>
      <w:r w:rsidRPr="00024C1E">
        <w:rPr>
          <w:rFonts w:ascii="Times New Roman" w:hAnsi="Times New Roman" w:cs="Times New Roman"/>
          <w:b/>
          <w:bCs/>
        </w:rPr>
        <w:t xml:space="preserve"> DATA</w:t>
      </w:r>
    </w:p>
    <w:p w14:paraId="2313ECCD" w14:textId="5E88BDBF" w:rsidR="00766210" w:rsidRDefault="000A1F0D">
      <w:r>
        <w:rPr>
          <w:noProof/>
        </w:rPr>
        <w:lastRenderedPageBreak/>
        <w:drawing>
          <wp:inline distT="0" distB="0" distL="0" distR="0" wp14:anchorId="3EE42DFD" wp14:editId="08DCD08C">
            <wp:extent cx="8863330" cy="5223510"/>
            <wp:effectExtent l="0" t="0" r="0" b="0"/>
            <wp:docPr id="183381924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3819246" name="Picture 183381924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2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E6E274" w14:textId="36D65170" w:rsidR="00766210" w:rsidRPr="00260632" w:rsidRDefault="00766210" w:rsidP="00CB4C27">
      <w:pPr>
        <w:spacing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4C27">
        <w:rPr>
          <w:rFonts w:ascii="Times New Roman" w:hAnsi="Times New Roman" w:cs="Times New Roman"/>
          <w:b/>
          <w:bCs/>
        </w:rPr>
        <w:lastRenderedPageBreak/>
        <w:t>Fig</w:t>
      </w:r>
      <w:r w:rsidR="00CB4C27">
        <w:rPr>
          <w:rFonts w:ascii="Times New Roman" w:hAnsi="Times New Roman" w:cs="Times New Roman"/>
          <w:b/>
          <w:bCs/>
        </w:rPr>
        <w:t>.</w:t>
      </w:r>
      <w:r w:rsidRPr="00CB4C27">
        <w:rPr>
          <w:rFonts w:ascii="Times New Roman" w:hAnsi="Times New Roman" w:cs="Times New Roman"/>
          <w:b/>
          <w:bCs/>
        </w:rPr>
        <w:t xml:space="preserve"> S1.  </w:t>
      </w:r>
      <w:r w:rsidR="00CB4C27" w:rsidRPr="00CB4C27">
        <w:rPr>
          <w:rFonts w:ascii="Times New Roman" w:hAnsi="Times New Roman" w:cs="Times New Roman"/>
          <w:b/>
          <w:bCs/>
        </w:rPr>
        <w:t>Effects of injectable contraceptives on systemic soluble mediators at baseline (D0) and 25 weeks (25W).</w:t>
      </w:r>
      <w:r w:rsidR="00CB4C27">
        <w:rPr>
          <w:rFonts w:ascii="Times New Roman" w:hAnsi="Times New Roman" w:cs="Times New Roman"/>
        </w:rPr>
        <w:t xml:space="preserve"> </w:t>
      </w:r>
      <w:r w:rsidRPr="00CB4C27">
        <w:rPr>
          <w:rFonts w:ascii="Times New Roman" w:hAnsi="Times New Roman" w:cs="Times New Roman"/>
        </w:rPr>
        <w:t xml:space="preserve">Boxplots represent median concentrations of 21 soluble mediators </w:t>
      </w:r>
      <w:r w:rsidR="00CB4C27">
        <w:rPr>
          <w:rFonts w:ascii="Times New Roman" w:hAnsi="Times New Roman" w:cs="Times New Roman"/>
        </w:rPr>
        <w:t xml:space="preserve">measured in serum </w:t>
      </w:r>
      <w:r w:rsidRPr="00CB4C27">
        <w:rPr>
          <w:rFonts w:ascii="Times New Roman" w:hAnsi="Times New Roman" w:cs="Times New Roman"/>
        </w:rPr>
        <w:t>at D0 and 25W following contraceptive initiation in women randomized to DMPA-IM (blue</w:t>
      </w:r>
      <w:r w:rsidR="00611F61">
        <w:rPr>
          <w:rFonts w:ascii="Times New Roman" w:hAnsi="Times New Roman" w:cs="Times New Roman"/>
        </w:rPr>
        <w:t>, n = 49</w:t>
      </w:r>
      <w:r w:rsidRPr="00CB4C27">
        <w:rPr>
          <w:rFonts w:ascii="Times New Roman" w:hAnsi="Times New Roman" w:cs="Times New Roman"/>
        </w:rPr>
        <w:t>) or NET-EN (green</w:t>
      </w:r>
      <w:r w:rsidR="00611F61">
        <w:rPr>
          <w:rFonts w:ascii="Times New Roman" w:hAnsi="Times New Roman" w:cs="Times New Roman"/>
        </w:rPr>
        <w:t>, n = 44</w:t>
      </w:r>
      <w:r w:rsidRPr="00CB4C27">
        <w:rPr>
          <w:rFonts w:ascii="Times New Roman" w:hAnsi="Times New Roman" w:cs="Times New Roman"/>
        </w:rPr>
        <w:t xml:space="preserve">) </w:t>
      </w:r>
      <w:r w:rsidR="00CB4C27">
        <w:rPr>
          <w:rFonts w:ascii="Times New Roman" w:hAnsi="Times New Roman" w:cs="Times New Roman"/>
        </w:rPr>
        <w:t>from the Durban site</w:t>
      </w:r>
      <w:r w:rsidRPr="00CB4C27">
        <w:rPr>
          <w:rFonts w:ascii="Times New Roman" w:hAnsi="Times New Roman" w:cs="Times New Roman"/>
        </w:rPr>
        <w:t xml:space="preserve"> (Table S</w:t>
      </w:r>
      <w:r w:rsidR="00731F73">
        <w:rPr>
          <w:rFonts w:ascii="Times New Roman" w:hAnsi="Times New Roman" w:cs="Times New Roman"/>
        </w:rPr>
        <w:t>1</w:t>
      </w:r>
      <w:r w:rsidRPr="00CB4C27">
        <w:rPr>
          <w:rFonts w:ascii="Times New Roman" w:hAnsi="Times New Roman" w:cs="Times New Roman"/>
        </w:rPr>
        <w:t>).</w:t>
      </w:r>
      <w:r w:rsidR="00EF4B8E">
        <w:rPr>
          <w:rFonts w:ascii="Times New Roman" w:hAnsi="Times New Roman" w:cs="Times New Roman"/>
        </w:rPr>
        <w:t xml:space="preserve"> Concentration is represented as </w:t>
      </w:r>
      <w:proofErr w:type="spellStart"/>
      <w:r w:rsidR="004D7A55">
        <w:rPr>
          <w:rFonts w:ascii="Times New Roman" w:hAnsi="Times New Roman" w:cs="Times New Roman"/>
        </w:rPr>
        <w:t>pg</w:t>
      </w:r>
      <w:proofErr w:type="spellEnd"/>
      <w:r w:rsidR="004D7A55">
        <w:rPr>
          <w:rFonts w:ascii="Times New Roman" w:hAnsi="Times New Roman" w:cs="Times New Roman"/>
        </w:rPr>
        <w:t>/mL</w:t>
      </w:r>
      <w:r w:rsidR="00D64832">
        <w:rPr>
          <w:rFonts w:ascii="Times New Roman" w:hAnsi="Times New Roman" w:cs="Times New Roman"/>
        </w:rPr>
        <w:t xml:space="preserve"> for all soluble mediators </w:t>
      </w:r>
      <w:r w:rsidR="008F6525">
        <w:rPr>
          <w:rFonts w:ascii="Times New Roman" w:hAnsi="Times New Roman" w:cs="Times New Roman"/>
        </w:rPr>
        <w:t>apart from</w:t>
      </w:r>
      <w:r w:rsidR="00D64832">
        <w:rPr>
          <w:rFonts w:ascii="Times New Roman" w:hAnsi="Times New Roman" w:cs="Times New Roman"/>
        </w:rPr>
        <w:t xml:space="preserve"> CRP </w:t>
      </w:r>
      <w:r w:rsidR="003265A7">
        <w:rPr>
          <w:rFonts w:ascii="Times New Roman" w:hAnsi="Times New Roman" w:cs="Times New Roman"/>
        </w:rPr>
        <w:t xml:space="preserve">which is represented as </w:t>
      </w:r>
      <w:r w:rsidR="004D7A55">
        <w:rPr>
          <w:rFonts w:ascii="Times New Roman" w:hAnsi="Times New Roman" w:cs="Times New Roman"/>
        </w:rPr>
        <w:t>ng/</w:t>
      </w:r>
      <w:proofErr w:type="spellStart"/>
      <w:r w:rsidR="004D7A55">
        <w:rPr>
          <w:rFonts w:ascii="Times New Roman" w:hAnsi="Times New Roman" w:cs="Times New Roman"/>
        </w:rPr>
        <w:t>mL</w:t>
      </w:r>
      <w:r w:rsidR="003265A7">
        <w:rPr>
          <w:rFonts w:ascii="Times New Roman" w:hAnsi="Times New Roman" w:cs="Times New Roman"/>
        </w:rPr>
        <w:t>.</w:t>
      </w:r>
      <w:proofErr w:type="spellEnd"/>
      <w:r w:rsidRPr="00CB4C27">
        <w:rPr>
          <w:rFonts w:ascii="Times New Roman" w:hAnsi="Times New Roman" w:cs="Times New Roman"/>
        </w:rPr>
        <w:t xml:space="preserve"> Boxes indicate interquartile range and error bars indicate range. Each coloured line represents one woman and immune mediator changes over time. *Within-group comparisons (D0 to 25W) were calculated using Wilcoxon paired signed-rank tests. </w:t>
      </w:r>
      <w:r w:rsidRPr="00CB4C27">
        <w:rPr>
          <w:rFonts w:ascii="Times New Roman" w:hAnsi="Times New Roman" w:cs="Times New Roman"/>
          <w:vertAlign w:val="superscript"/>
        </w:rPr>
        <w:t>#</w:t>
      </w:r>
      <w:r w:rsidRPr="00CB4C27">
        <w:rPr>
          <w:rFonts w:ascii="Times New Roman" w:hAnsi="Times New Roman" w:cs="Times New Roman"/>
        </w:rPr>
        <w:t xml:space="preserve">Between-group comparisons (DMPA-IM D0 vs NET-EN D0 and DMPA-IM 25W vs NET-EN 25W) were calculated using Mann-Whitney tests. Significance is indicated as **** p&lt;0.0001, *** p&lt;0.001, ** p&lt;0.01, * or </w:t>
      </w:r>
      <w:r w:rsidRPr="00CB4C27">
        <w:rPr>
          <w:rFonts w:ascii="Times New Roman" w:hAnsi="Times New Roman" w:cs="Times New Roman"/>
          <w:vertAlign w:val="superscript"/>
        </w:rPr>
        <w:t>#</w:t>
      </w:r>
      <w:r w:rsidRPr="00CB4C27">
        <w:rPr>
          <w:rFonts w:ascii="Times New Roman" w:hAnsi="Times New Roman" w:cs="Times New Roman"/>
        </w:rPr>
        <w:t xml:space="preserve"> p&lt;0.05. </w:t>
      </w:r>
      <w:bookmarkStart w:id="0" w:name="_Hlk184653328"/>
      <w:r w:rsidR="00DF73CC">
        <w:rPr>
          <w:rFonts w:ascii="Times New Roman" w:hAnsi="Times New Roman" w:cs="Times New Roman"/>
        </w:rPr>
        <w:t xml:space="preserve"> Note that </w:t>
      </w:r>
      <w:r w:rsidR="00DF73CC" w:rsidRPr="00DF73CC">
        <w:rPr>
          <w:rFonts w:ascii="Times New Roman" w:hAnsi="Times New Roman" w:cs="Times New Roman"/>
          <w:bCs/>
          <w:sz w:val="24"/>
          <w:szCs w:val="24"/>
        </w:rPr>
        <w:t>IFN-α2, IL-2, IL-4, GM-CSF had &gt;50% of their levels below the limit of detection (LOD) and required imputation at one or both time points in serum, and thus these results should be interpreted with caution.</w:t>
      </w:r>
      <w:bookmarkEnd w:id="0"/>
      <w:r w:rsidR="00AB12A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11F61" w:rsidRPr="00BC3B7B">
        <w:rPr>
          <w:rFonts w:ascii="Times New Roman" w:hAnsi="Times New Roman" w:cs="Times New Roman"/>
        </w:rPr>
        <w:t xml:space="preserve">TNF-α: </w:t>
      </w:r>
      <w:proofErr w:type="spellStart"/>
      <w:r w:rsidR="00611F61" w:rsidRPr="00BC3B7B">
        <w:rPr>
          <w:rFonts w:ascii="Times New Roman" w:hAnsi="Times New Roman" w:cs="Times New Roman"/>
        </w:rPr>
        <w:t>tumor</w:t>
      </w:r>
      <w:proofErr w:type="spellEnd"/>
      <w:r w:rsidR="00611F61" w:rsidRPr="00BC3B7B">
        <w:rPr>
          <w:rFonts w:ascii="Times New Roman" w:hAnsi="Times New Roman" w:cs="Times New Roman"/>
        </w:rPr>
        <w:t xml:space="preserve"> necrosis factor α, IL: interleukin, CRP: C-reactive protein, MIP: macrophage inflammatory protein, IP-10: interferon gamma-induced protein 10, RANTES: regulated on activation, normal T cell expressed and secreted, IFN: interferon, MCP-1: monocyte chemoattractant protein 1, SLPI: secretory leukocyte protease inhibitor, HβD-2: human beta-defensin 2, G-CSF: granulocyte-colony stimulating factor, GM-CSF: granulocyte-macrophage colony-stimulating factor</w:t>
      </w:r>
      <w:r w:rsidR="00611F61">
        <w:rPr>
          <w:rFonts w:ascii="Times New Roman" w:hAnsi="Times New Roman" w:cs="Times New Roman"/>
        </w:rPr>
        <w:t>.</w:t>
      </w:r>
    </w:p>
    <w:p w14:paraId="1C7A9660" w14:textId="77777777" w:rsidR="00766210" w:rsidRDefault="00766210"/>
    <w:p w14:paraId="2501CF70" w14:textId="77777777" w:rsidR="00F94D9E" w:rsidRDefault="00F94D9E"/>
    <w:p w14:paraId="7586C7D5" w14:textId="35DBF94F" w:rsidR="00766210" w:rsidRDefault="000A1F0D">
      <w:r>
        <w:rPr>
          <w:noProof/>
        </w:rPr>
        <w:lastRenderedPageBreak/>
        <w:drawing>
          <wp:inline distT="0" distB="0" distL="0" distR="0" wp14:anchorId="52F80EC2" wp14:editId="70625ED4">
            <wp:extent cx="8863330" cy="5218430"/>
            <wp:effectExtent l="0" t="0" r="0" b="1270"/>
            <wp:docPr id="1941304389" name="Picture 4" descr="A group of diagrams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304389" name="Picture 4" descr="A group of diagrams on a white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1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14DEB" w14:textId="3CCE1BA8" w:rsidR="00766210" w:rsidRPr="00611F61" w:rsidRDefault="00611F61" w:rsidP="00611F61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Fig. S2. </w:t>
      </w:r>
      <w:r w:rsidRPr="00CB4C27">
        <w:rPr>
          <w:rFonts w:ascii="Times New Roman" w:hAnsi="Times New Roman" w:cs="Times New Roman"/>
          <w:b/>
          <w:bCs/>
        </w:rPr>
        <w:t xml:space="preserve">Effects of injectable contraceptives on </w:t>
      </w:r>
      <w:r>
        <w:rPr>
          <w:rFonts w:ascii="Times New Roman" w:hAnsi="Times New Roman" w:cs="Times New Roman"/>
          <w:b/>
          <w:bCs/>
        </w:rPr>
        <w:t>vaginal</w:t>
      </w:r>
      <w:r w:rsidRPr="00CB4C27">
        <w:rPr>
          <w:rFonts w:ascii="Times New Roman" w:hAnsi="Times New Roman" w:cs="Times New Roman"/>
          <w:b/>
          <w:bCs/>
        </w:rPr>
        <w:t xml:space="preserve"> soluble mediators at baseline (D0) and 25 weeks (25W).</w:t>
      </w:r>
      <w:r>
        <w:rPr>
          <w:rFonts w:ascii="Times New Roman" w:hAnsi="Times New Roman" w:cs="Times New Roman"/>
        </w:rPr>
        <w:t xml:space="preserve"> </w:t>
      </w:r>
      <w:r w:rsidR="00766210" w:rsidRPr="00611F61">
        <w:rPr>
          <w:rFonts w:ascii="Times New Roman" w:hAnsi="Times New Roman" w:cs="Times New Roman"/>
        </w:rPr>
        <w:t xml:space="preserve">Boxplots represent median concentrations of 26 </w:t>
      </w:r>
      <w:r>
        <w:rPr>
          <w:rFonts w:ascii="Times New Roman" w:hAnsi="Times New Roman" w:cs="Times New Roman"/>
        </w:rPr>
        <w:t>vaginal</w:t>
      </w:r>
      <w:r w:rsidR="00766210" w:rsidRPr="00611F61">
        <w:rPr>
          <w:rFonts w:ascii="Times New Roman" w:hAnsi="Times New Roman" w:cs="Times New Roman"/>
        </w:rPr>
        <w:t xml:space="preserve"> soluble mediators at D0 and 25W following contraceptive initiation in women randomized to DMPA-IM (blue</w:t>
      </w:r>
      <w:r>
        <w:rPr>
          <w:rFonts w:ascii="Times New Roman" w:hAnsi="Times New Roman" w:cs="Times New Roman"/>
        </w:rPr>
        <w:t>, n = 49</w:t>
      </w:r>
      <w:r w:rsidR="00766210" w:rsidRPr="00611F61">
        <w:rPr>
          <w:rFonts w:ascii="Times New Roman" w:hAnsi="Times New Roman" w:cs="Times New Roman"/>
        </w:rPr>
        <w:t>) or NET-EN (green</w:t>
      </w:r>
      <w:r>
        <w:rPr>
          <w:rFonts w:ascii="Times New Roman" w:hAnsi="Times New Roman" w:cs="Times New Roman"/>
        </w:rPr>
        <w:t>, n = 44</w:t>
      </w:r>
      <w:r w:rsidR="00766210" w:rsidRPr="00611F61">
        <w:rPr>
          <w:rFonts w:ascii="Times New Roman" w:hAnsi="Times New Roman" w:cs="Times New Roman"/>
        </w:rPr>
        <w:t>)</w:t>
      </w:r>
      <w:r w:rsidR="00107B60">
        <w:rPr>
          <w:rFonts w:ascii="Times New Roman" w:hAnsi="Times New Roman" w:cs="Times New Roman"/>
        </w:rPr>
        <w:t xml:space="preserve"> from the Durban site</w:t>
      </w:r>
      <w:r w:rsidR="00766210" w:rsidRPr="00611F61">
        <w:rPr>
          <w:rFonts w:ascii="Times New Roman" w:hAnsi="Times New Roman" w:cs="Times New Roman"/>
        </w:rPr>
        <w:t xml:space="preserve"> (Table S</w:t>
      </w:r>
      <w:r w:rsidR="00731F73">
        <w:rPr>
          <w:rFonts w:ascii="Times New Roman" w:hAnsi="Times New Roman" w:cs="Times New Roman"/>
        </w:rPr>
        <w:t>2</w:t>
      </w:r>
      <w:r w:rsidR="00766210" w:rsidRPr="00611F61">
        <w:rPr>
          <w:rFonts w:ascii="Times New Roman" w:hAnsi="Times New Roman" w:cs="Times New Roman"/>
        </w:rPr>
        <w:t xml:space="preserve">). </w:t>
      </w:r>
      <w:r w:rsidR="00416047">
        <w:rPr>
          <w:rFonts w:ascii="Times New Roman" w:hAnsi="Times New Roman" w:cs="Times New Roman"/>
        </w:rPr>
        <w:t xml:space="preserve">Concentration is represented as </w:t>
      </w:r>
      <w:proofErr w:type="spellStart"/>
      <w:r w:rsidR="00107B60">
        <w:rPr>
          <w:rFonts w:ascii="Times New Roman" w:hAnsi="Times New Roman" w:cs="Times New Roman"/>
        </w:rPr>
        <w:t>pg</w:t>
      </w:r>
      <w:proofErr w:type="spellEnd"/>
      <w:r w:rsidR="00107B60">
        <w:rPr>
          <w:rFonts w:ascii="Times New Roman" w:hAnsi="Times New Roman" w:cs="Times New Roman"/>
        </w:rPr>
        <w:t>/mL</w:t>
      </w:r>
      <w:r w:rsidR="00416047">
        <w:rPr>
          <w:rFonts w:ascii="Times New Roman" w:hAnsi="Times New Roman" w:cs="Times New Roman"/>
        </w:rPr>
        <w:t xml:space="preserve"> for all soluble mediators </w:t>
      </w:r>
      <w:r w:rsidR="00C7533C">
        <w:rPr>
          <w:rFonts w:ascii="Times New Roman" w:hAnsi="Times New Roman" w:cs="Times New Roman"/>
        </w:rPr>
        <w:t>apart from</w:t>
      </w:r>
      <w:r w:rsidR="00416047">
        <w:rPr>
          <w:rFonts w:ascii="Times New Roman" w:hAnsi="Times New Roman" w:cs="Times New Roman"/>
        </w:rPr>
        <w:t xml:space="preserve"> CRP</w:t>
      </w:r>
      <w:r w:rsidR="00C7533C">
        <w:rPr>
          <w:rFonts w:ascii="Times New Roman" w:hAnsi="Times New Roman" w:cs="Times New Roman"/>
        </w:rPr>
        <w:t xml:space="preserve"> and RANTES</w:t>
      </w:r>
      <w:r w:rsidR="00416047">
        <w:rPr>
          <w:rFonts w:ascii="Times New Roman" w:hAnsi="Times New Roman" w:cs="Times New Roman"/>
        </w:rPr>
        <w:t xml:space="preserve"> which </w:t>
      </w:r>
      <w:r w:rsidR="0092692D">
        <w:rPr>
          <w:rFonts w:ascii="Times New Roman" w:hAnsi="Times New Roman" w:cs="Times New Roman"/>
        </w:rPr>
        <w:t>are</w:t>
      </w:r>
      <w:r w:rsidR="00416047">
        <w:rPr>
          <w:rFonts w:ascii="Times New Roman" w:hAnsi="Times New Roman" w:cs="Times New Roman"/>
        </w:rPr>
        <w:t xml:space="preserve"> represented as </w:t>
      </w:r>
      <w:r w:rsidR="00107B60">
        <w:rPr>
          <w:rFonts w:ascii="Times New Roman" w:hAnsi="Times New Roman" w:cs="Times New Roman"/>
        </w:rPr>
        <w:t>ng/</w:t>
      </w:r>
      <w:proofErr w:type="spellStart"/>
      <w:r w:rsidR="00107B60">
        <w:rPr>
          <w:rFonts w:ascii="Times New Roman" w:hAnsi="Times New Roman" w:cs="Times New Roman"/>
        </w:rPr>
        <w:t>mL</w:t>
      </w:r>
      <w:r w:rsidR="00416047">
        <w:rPr>
          <w:rFonts w:ascii="Times New Roman" w:hAnsi="Times New Roman" w:cs="Times New Roman"/>
        </w:rPr>
        <w:t>.</w:t>
      </w:r>
      <w:proofErr w:type="spellEnd"/>
      <w:r w:rsidR="00416047">
        <w:rPr>
          <w:rFonts w:ascii="Times New Roman" w:hAnsi="Times New Roman" w:cs="Times New Roman"/>
        </w:rPr>
        <w:t xml:space="preserve"> </w:t>
      </w:r>
      <w:r w:rsidR="00766210" w:rsidRPr="00611F61">
        <w:rPr>
          <w:rFonts w:ascii="Times New Roman" w:hAnsi="Times New Roman" w:cs="Times New Roman"/>
        </w:rPr>
        <w:t xml:space="preserve">Boxes indicate interquartile range and error bars indicate range. Each coloured line represents one woman and immune mediator changes over time. *Within-group comparisons (D0 to 25W) were calculated using Wilcoxon paired signed-rank tests. </w:t>
      </w:r>
      <w:r w:rsidR="00766210" w:rsidRPr="00611F61">
        <w:rPr>
          <w:rFonts w:ascii="Times New Roman" w:hAnsi="Times New Roman" w:cs="Times New Roman"/>
          <w:vertAlign w:val="superscript"/>
        </w:rPr>
        <w:t>#</w:t>
      </w:r>
      <w:r w:rsidR="00766210" w:rsidRPr="00611F61">
        <w:rPr>
          <w:rFonts w:ascii="Times New Roman" w:hAnsi="Times New Roman" w:cs="Times New Roman"/>
        </w:rPr>
        <w:t xml:space="preserve">Between-group comparisons (DMPA-IM D0 vs NET-EN D0 and DMPA-IM 25W vs NET-EN 25W) were calculated using Mann-Whitney tests. Significance is indicated as **** p&lt;0.0001, *** p&lt;0.001, ** or </w:t>
      </w:r>
      <w:r w:rsidR="00766210" w:rsidRPr="00611F61">
        <w:rPr>
          <w:rFonts w:ascii="Times New Roman" w:hAnsi="Times New Roman" w:cs="Times New Roman"/>
          <w:vertAlign w:val="superscript"/>
        </w:rPr>
        <w:t>#</w:t>
      </w:r>
      <w:proofErr w:type="gramStart"/>
      <w:r w:rsidR="00766210" w:rsidRPr="00611F61">
        <w:rPr>
          <w:rFonts w:ascii="Times New Roman" w:hAnsi="Times New Roman" w:cs="Times New Roman"/>
          <w:vertAlign w:val="superscript"/>
        </w:rPr>
        <w:t>#</w:t>
      </w:r>
      <w:r w:rsidR="00766210" w:rsidRPr="00611F61">
        <w:rPr>
          <w:rFonts w:ascii="Times New Roman" w:hAnsi="Times New Roman" w:cs="Times New Roman"/>
        </w:rPr>
        <w:t xml:space="preserve">  p</w:t>
      </w:r>
      <w:proofErr w:type="gramEnd"/>
      <w:r w:rsidR="00766210" w:rsidRPr="00611F61">
        <w:rPr>
          <w:rFonts w:ascii="Times New Roman" w:hAnsi="Times New Roman" w:cs="Times New Roman"/>
        </w:rPr>
        <w:t xml:space="preserve">&lt;0.01, * or </w:t>
      </w:r>
      <w:r w:rsidR="00766210" w:rsidRPr="00611F61">
        <w:rPr>
          <w:rFonts w:ascii="Times New Roman" w:hAnsi="Times New Roman" w:cs="Times New Roman"/>
          <w:vertAlign w:val="superscript"/>
        </w:rPr>
        <w:t>#</w:t>
      </w:r>
      <w:r w:rsidR="00766210" w:rsidRPr="00611F61">
        <w:rPr>
          <w:rFonts w:ascii="Times New Roman" w:hAnsi="Times New Roman" w:cs="Times New Roman"/>
        </w:rPr>
        <w:t xml:space="preserve"> p&lt;0.05. </w:t>
      </w:r>
      <w:r w:rsidR="00FE7C8B">
        <w:rPr>
          <w:rFonts w:ascii="Times New Roman" w:hAnsi="Times New Roman" w:cs="Times New Roman"/>
        </w:rPr>
        <w:t xml:space="preserve">Note that </w:t>
      </w:r>
      <w:r w:rsidR="00FE7C8B" w:rsidRPr="00FE7C8B">
        <w:rPr>
          <w:rFonts w:ascii="Times New Roman" w:hAnsi="Times New Roman" w:cs="Times New Roman"/>
        </w:rPr>
        <w:t xml:space="preserve">&gt;50% of the values for GM-CSF, IL-2, IL-3, IL-4 and IL-6 were below the LOD and required imputation and thus should be interpreted cautiously. </w:t>
      </w:r>
      <w:r w:rsidRPr="00611F61">
        <w:rPr>
          <w:rFonts w:ascii="Times New Roman" w:hAnsi="Times New Roman" w:cs="Times New Roman"/>
        </w:rPr>
        <w:t xml:space="preserve">TNF-α: </w:t>
      </w:r>
      <w:proofErr w:type="spellStart"/>
      <w:r w:rsidRPr="00611F61">
        <w:rPr>
          <w:rFonts w:ascii="Times New Roman" w:hAnsi="Times New Roman" w:cs="Times New Roman"/>
        </w:rPr>
        <w:t>tumor</w:t>
      </w:r>
      <w:proofErr w:type="spellEnd"/>
      <w:r w:rsidRPr="00611F61">
        <w:rPr>
          <w:rFonts w:ascii="Times New Roman" w:hAnsi="Times New Roman" w:cs="Times New Roman"/>
        </w:rPr>
        <w:t xml:space="preserve"> necrosis factor α, IL: interleukin, CRP: C-reactive protein, MIP: macrophage inflammatory protein, IP-10: interferon gamma-induced protein 10, RANTES: regulated on activation, normal T cell expressed and secreted, IFN: interferon, MCP-1: monocyte chemoattractant protein 1, SLPI: secretory leukocyte protease inhibitor, HβD-2: human beta-defensin 2, G-CSF: granulocyte-colony stimulating factor, GM-CSF: granulocyte-macrophage colony-stimulating factor, FGF2: fibroblast growth factor 2, VEGF: vascular endothelial growth factor.</w:t>
      </w:r>
    </w:p>
    <w:p w14:paraId="5C4741E8" w14:textId="77777777" w:rsidR="00766210" w:rsidRDefault="00766210" w:rsidP="00766210">
      <w:pPr>
        <w:jc w:val="both"/>
        <w:rPr>
          <w:rFonts w:ascii="Times New Roman" w:hAnsi="Times New Roman" w:cs="Times New Roman"/>
        </w:rPr>
      </w:pPr>
    </w:p>
    <w:p w14:paraId="1E8C7A39" w14:textId="77777777" w:rsidR="00766210" w:rsidRDefault="00766210" w:rsidP="00766210">
      <w:pPr>
        <w:jc w:val="both"/>
        <w:rPr>
          <w:rFonts w:ascii="Times New Roman" w:hAnsi="Times New Roman" w:cs="Times New Roman"/>
        </w:rPr>
      </w:pPr>
    </w:p>
    <w:p w14:paraId="55457FBD" w14:textId="728A7868" w:rsidR="00766210" w:rsidRPr="0002757F" w:rsidRDefault="00F3585D" w:rsidP="00766210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453A17BB" wp14:editId="77C6336D">
            <wp:extent cx="8863330" cy="4182110"/>
            <wp:effectExtent l="0" t="0" r="0" b="8890"/>
            <wp:docPr id="6299244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924497" name="Picture 62992449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3C3FD" w14:textId="4A07C84F" w:rsidR="00766210" w:rsidRDefault="00611F61" w:rsidP="00611F61">
      <w:pPr>
        <w:spacing w:line="480" w:lineRule="auto"/>
        <w:jc w:val="both"/>
        <w:rPr>
          <w:rFonts w:ascii="Times New Roman" w:hAnsi="Times New Roman" w:cs="Times New Roman"/>
        </w:rPr>
      </w:pPr>
      <w:r w:rsidRPr="00611F61">
        <w:rPr>
          <w:rFonts w:ascii="Times New Roman" w:hAnsi="Times New Roman" w:cs="Times New Roman"/>
          <w:b/>
          <w:bCs/>
        </w:rPr>
        <w:t xml:space="preserve">Fig. S3. Study site comparison of </w:t>
      </w:r>
      <w:r w:rsidR="000A1F0D">
        <w:rPr>
          <w:rFonts w:ascii="Times New Roman" w:hAnsi="Times New Roman" w:cs="Times New Roman"/>
          <w:b/>
          <w:bCs/>
        </w:rPr>
        <w:t>serum</w:t>
      </w:r>
      <w:r w:rsidRPr="00611F61">
        <w:rPr>
          <w:rFonts w:ascii="Times New Roman" w:hAnsi="Times New Roman" w:cs="Times New Roman"/>
          <w:b/>
          <w:bCs/>
        </w:rPr>
        <w:t xml:space="preserve"> soluble mediators</w:t>
      </w:r>
      <w:r>
        <w:rPr>
          <w:rFonts w:ascii="Times New Roman" w:hAnsi="Times New Roman" w:cs="Times New Roman"/>
          <w:b/>
          <w:bCs/>
        </w:rPr>
        <w:t xml:space="preserve">. </w:t>
      </w:r>
      <w:r w:rsidRPr="00611F61">
        <w:rPr>
          <w:rFonts w:ascii="Times New Roman" w:hAnsi="Times New Roman" w:cs="Times New Roman"/>
        </w:rPr>
        <w:t>Boxplots represent median concentrations of</w:t>
      </w:r>
      <w:r w:rsidR="003922C0">
        <w:rPr>
          <w:rFonts w:ascii="Times New Roman" w:hAnsi="Times New Roman" w:cs="Times New Roman"/>
        </w:rPr>
        <w:t xml:space="preserve"> </w:t>
      </w:r>
      <w:r w:rsidR="00F3585D">
        <w:rPr>
          <w:rFonts w:ascii="Times New Roman" w:hAnsi="Times New Roman" w:cs="Times New Roman"/>
        </w:rPr>
        <w:t>seven</w:t>
      </w:r>
      <w:r w:rsidRPr="00611F61">
        <w:rPr>
          <w:rFonts w:ascii="Times New Roman" w:hAnsi="Times New Roman" w:cs="Times New Roman"/>
        </w:rPr>
        <w:t xml:space="preserve"> </w:t>
      </w:r>
      <w:r w:rsidR="00F3585D">
        <w:rPr>
          <w:rFonts w:ascii="Times New Roman" w:hAnsi="Times New Roman" w:cs="Times New Roman"/>
        </w:rPr>
        <w:t>serum</w:t>
      </w:r>
      <w:r w:rsidRPr="00611F61">
        <w:rPr>
          <w:rFonts w:ascii="Times New Roman" w:hAnsi="Times New Roman" w:cs="Times New Roman"/>
        </w:rPr>
        <w:t xml:space="preserve"> soluble mediators at D0 and 25W following contraceptive initiation in women randomized to DMPA-IM (blue</w:t>
      </w:r>
      <w:r>
        <w:rPr>
          <w:rFonts w:ascii="Times New Roman" w:hAnsi="Times New Roman" w:cs="Times New Roman"/>
        </w:rPr>
        <w:t>, n = 42-50</w:t>
      </w:r>
      <w:r w:rsidRPr="00611F61">
        <w:rPr>
          <w:rFonts w:ascii="Times New Roman" w:hAnsi="Times New Roman" w:cs="Times New Roman"/>
        </w:rPr>
        <w:t>) or NET-EN (green</w:t>
      </w:r>
      <w:r>
        <w:rPr>
          <w:rFonts w:ascii="Times New Roman" w:hAnsi="Times New Roman" w:cs="Times New Roman"/>
        </w:rPr>
        <w:t>, n = 35-50</w:t>
      </w:r>
      <w:r w:rsidRPr="00611F6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at the Durban site (MRU, </w:t>
      </w:r>
      <w:r w:rsidRPr="00611F61">
        <w:rPr>
          <w:rFonts w:ascii="Times New Roman" w:hAnsi="Times New Roman" w:cs="Times New Roman"/>
        </w:rPr>
        <w:t>Table S</w:t>
      </w:r>
      <w:r w:rsidR="00731F7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) and the East London site (ECRU, Table S</w:t>
      </w:r>
      <w:r w:rsidR="00731F73">
        <w:rPr>
          <w:rFonts w:ascii="Times New Roman" w:hAnsi="Times New Roman" w:cs="Times New Roman"/>
        </w:rPr>
        <w:t>3</w:t>
      </w:r>
      <w:r w:rsidRPr="00611F61">
        <w:rPr>
          <w:rFonts w:ascii="Times New Roman" w:hAnsi="Times New Roman" w:cs="Times New Roman"/>
        </w:rPr>
        <w:t>).</w:t>
      </w:r>
      <w:r w:rsidR="008F6525">
        <w:rPr>
          <w:rFonts w:ascii="Times New Roman" w:hAnsi="Times New Roman" w:cs="Times New Roman"/>
        </w:rPr>
        <w:t xml:space="preserve"> Concentration is represented as </w:t>
      </w:r>
      <w:proofErr w:type="spellStart"/>
      <w:r w:rsidR="00107B60">
        <w:rPr>
          <w:rFonts w:ascii="Times New Roman" w:hAnsi="Times New Roman" w:cs="Times New Roman"/>
        </w:rPr>
        <w:t>pg</w:t>
      </w:r>
      <w:proofErr w:type="spellEnd"/>
      <w:r w:rsidR="00107B60">
        <w:rPr>
          <w:rFonts w:ascii="Times New Roman" w:hAnsi="Times New Roman" w:cs="Times New Roman"/>
        </w:rPr>
        <w:t>/mL</w:t>
      </w:r>
      <w:r w:rsidR="008F6525">
        <w:rPr>
          <w:rFonts w:ascii="Times New Roman" w:hAnsi="Times New Roman" w:cs="Times New Roman"/>
        </w:rPr>
        <w:t xml:space="preserve"> for all soluble mediators</w:t>
      </w:r>
      <w:r w:rsidR="00A06C90">
        <w:rPr>
          <w:rFonts w:ascii="Times New Roman" w:hAnsi="Times New Roman" w:cs="Times New Roman"/>
        </w:rPr>
        <w:t xml:space="preserve"> shown</w:t>
      </w:r>
      <w:r w:rsidR="008F6525">
        <w:rPr>
          <w:rFonts w:ascii="Times New Roman" w:hAnsi="Times New Roman" w:cs="Times New Roman"/>
        </w:rPr>
        <w:t>.</w:t>
      </w:r>
      <w:r w:rsidRPr="00611F61">
        <w:rPr>
          <w:rFonts w:ascii="Times New Roman" w:hAnsi="Times New Roman" w:cs="Times New Roman"/>
        </w:rPr>
        <w:t xml:space="preserve"> Boxes indicate interquartile range and error bars indicate range. Each coloured line represents one woman and immune mediator changes over time. *Within-group comparisons (D0 to 25W) were </w:t>
      </w:r>
      <w:r w:rsidRPr="00611F61">
        <w:rPr>
          <w:rFonts w:ascii="Times New Roman" w:hAnsi="Times New Roman" w:cs="Times New Roman"/>
        </w:rPr>
        <w:lastRenderedPageBreak/>
        <w:t xml:space="preserve">calculated using Wilcoxon paired signed-rank tests. </w:t>
      </w:r>
      <w:r w:rsidRPr="00611F61">
        <w:rPr>
          <w:rFonts w:ascii="Times New Roman" w:hAnsi="Times New Roman" w:cs="Times New Roman"/>
          <w:vertAlign w:val="superscript"/>
        </w:rPr>
        <w:t>#</w:t>
      </w:r>
      <w:r w:rsidRPr="00611F61">
        <w:rPr>
          <w:rFonts w:ascii="Times New Roman" w:hAnsi="Times New Roman" w:cs="Times New Roman"/>
        </w:rPr>
        <w:t xml:space="preserve">Between-group comparisons (DMPA-IM D0 vs NET-EN D0 and DMPA-IM 25W vs NET-EN 25W) were calculated using Mann-Whitney tests. Significance is indicated as **** p&lt;0.0001, *** p&lt;0.001, ** or </w:t>
      </w:r>
      <w:r w:rsidRPr="00611F61">
        <w:rPr>
          <w:rFonts w:ascii="Times New Roman" w:hAnsi="Times New Roman" w:cs="Times New Roman"/>
          <w:vertAlign w:val="superscript"/>
        </w:rPr>
        <w:t>#</w:t>
      </w:r>
      <w:proofErr w:type="gramStart"/>
      <w:r w:rsidRPr="00611F61">
        <w:rPr>
          <w:rFonts w:ascii="Times New Roman" w:hAnsi="Times New Roman" w:cs="Times New Roman"/>
          <w:vertAlign w:val="superscript"/>
        </w:rPr>
        <w:t>#</w:t>
      </w:r>
      <w:r w:rsidRPr="00611F61">
        <w:rPr>
          <w:rFonts w:ascii="Times New Roman" w:hAnsi="Times New Roman" w:cs="Times New Roman"/>
        </w:rPr>
        <w:t xml:space="preserve">  p</w:t>
      </w:r>
      <w:proofErr w:type="gramEnd"/>
      <w:r w:rsidRPr="00611F61">
        <w:rPr>
          <w:rFonts w:ascii="Times New Roman" w:hAnsi="Times New Roman" w:cs="Times New Roman"/>
        </w:rPr>
        <w:t xml:space="preserve">&lt;0.01, * or </w:t>
      </w:r>
      <w:r w:rsidRPr="00611F61">
        <w:rPr>
          <w:rFonts w:ascii="Times New Roman" w:hAnsi="Times New Roman" w:cs="Times New Roman"/>
          <w:vertAlign w:val="superscript"/>
        </w:rPr>
        <w:t>#</w:t>
      </w:r>
      <w:r w:rsidRPr="00611F61">
        <w:rPr>
          <w:rFonts w:ascii="Times New Roman" w:hAnsi="Times New Roman" w:cs="Times New Roman"/>
        </w:rPr>
        <w:t xml:space="preserve"> p&lt;0.05. TNF-α: </w:t>
      </w:r>
      <w:proofErr w:type="spellStart"/>
      <w:r w:rsidRPr="00611F61">
        <w:rPr>
          <w:rFonts w:ascii="Times New Roman" w:hAnsi="Times New Roman" w:cs="Times New Roman"/>
        </w:rPr>
        <w:t>tumor</w:t>
      </w:r>
      <w:proofErr w:type="spellEnd"/>
      <w:r w:rsidRPr="00611F61">
        <w:rPr>
          <w:rFonts w:ascii="Times New Roman" w:hAnsi="Times New Roman" w:cs="Times New Roman"/>
        </w:rPr>
        <w:t xml:space="preserve"> necrosis factor α, IL: interleukin, CRP: C-reactive protein, MIP: macrophage inflammatory protein, IP-10: interferon gamma-induced protein 10, RANTES: regulated on activation, normal T cell expressed and secreted, IFN: interferon, MCP-1: monocyte chemoattractant protein 1, SLPI: secretory leukocyte protease inhibitor, HβD-2: human beta-defensin 2, G-CSF: granulocyte-colony stimulating factor, GM-CSF: granulocyte-macrophage colony-stimulating factor, FGF2: fibroblast growth factor 2, VEGF: vascular endothelial growth factor.</w:t>
      </w:r>
    </w:p>
    <w:p w14:paraId="3C0FF377" w14:textId="49D7099C" w:rsidR="00F3585D" w:rsidRDefault="00800E84" w:rsidP="00800E84">
      <w:pPr>
        <w:spacing w:after="0"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59988C19" wp14:editId="3BDE5907">
            <wp:extent cx="8863330" cy="5230495"/>
            <wp:effectExtent l="0" t="0" r="0" b="8255"/>
            <wp:docPr id="35571459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714599" name="Picture 35571459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23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C53556" w14:textId="279C5518" w:rsidR="00F3585D" w:rsidRPr="00611F61" w:rsidRDefault="00F3585D" w:rsidP="00F3585D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  <w:r w:rsidRPr="00611F61">
        <w:rPr>
          <w:rFonts w:ascii="Times New Roman" w:hAnsi="Times New Roman" w:cs="Times New Roman"/>
          <w:b/>
          <w:bCs/>
        </w:rPr>
        <w:lastRenderedPageBreak/>
        <w:t>Fig. S</w:t>
      </w:r>
      <w:r>
        <w:rPr>
          <w:rFonts w:ascii="Times New Roman" w:hAnsi="Times New Roman" w:cs="Times New Roman"/>
          <w:b/>
          <w:bCs/>
        </w:rPr>
        <w:t>4</w:t>
      </w:r>
      <w:r w:rsidRPr="00611F61">
        <w:rPr>
          <w:rFonts w:ascii="Times New Roman" w:hAnsi="Times New Roman" w:cs="Times New Roman"/>
          <w:b/>
          <w:bCs/>
        </w:rPr>
        <w:t xml:space="preserve">. Study site comparison of </w:t>
      </w:r>
      <w:r>
        <w:rPr>
          <w:rFonts w:ascii="Times New Roman" w:hAnsi="Times New Roman" w:cs="Times New Roman"/>
          <w:b/>
          <w:bCs/>
        </w:rPr>
        <w:t>vaginal</w:t>
      </w:r>
      <w:r w:rsidRPr="00611F61">
        <w:rPr>
          <w:rFonts w:ascii="Times New Roman" w:hAnsi="Times New Roman" w:cs="Times New Roman"/>
          <w:b/>
          <w:bCs/>
        </w:rPr>
        <w:t xml:space="preserve"> soluble mediators</w:t>
      </w:r>
      <w:r>
        <w:rPr>
          <w:rFonts w:ascii="Times New Roman" w:hAnsi="Times New Roman" w:cs="Times New Roman"/>
          <w:b/>
          <w:bCs/>
        </w:rPr>
        <w:t xml:space="preserve">. </w:t>
      </w:r>
      <w:r w:rsidRPr="00611F61">
        <w:rPr>
          <w:rFonts w:ascii="Times New Roman" w:hAnsi="Times New Roman" w:cs="Times New Roman"/>
        </w:rPr>
        <w:t>Boxplots represent median concentrations of</w:t>
      </w:r>
      <w:r>
        <w:rPr>
          <w:rFonts w:ascii="Times New Roman" w:hAnsi="Times New Roman" w:cs="Times New Roman"/>
        </w:rPr>
        <w:t xml:space="preserve"> 12</w:t>
      </w:r>
      <w:r w:rsidRPr="00611F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vaginal</w:t>
      </w:r>
      <w:r w:rsidRPr="00611F61">
        <w:rPr>
          <w:rFonts w:ascii="Times New Roman" w:hAnsi="Times New Roman" w:cs="Times New Roman"/>
        </w:rPr>
        <w:t xml:space="preserve"> soluble mediators at D0 and 25W following contraceptive initiation in women randomized to DMPA-IM (blue</w:t>
      </w:r>
      <w:r>
        <w:rPr>
          <w:rFonts w:ascii="Times New Roman" w:hAnsi="Times New Roman" w:cs="Times New Roman"/>
        </w:rPr>
        <w:t>, n = 42-50</w:t>
      </w:r>
      <w:r w:rsidRPr="00611F61">
        <w:rPr>
          <w:rFonts w:ascii="Times New Roman" w:hAnsi="Times New Roman" w:cs="Times New Roman"/>
        </w:rPr>
        <w:t>) or NET-EN (green</w:t>
      </w:r>
      <w:r>
        <w:rPr>
          <w:rFonts w:ascii="Times New Roman" w:hAnsi="Times New Roman" w:cs="Times New Roman"/>
        </w:rPr>
        <w:t>, n = 35-50</w:t>
      </w:r>
      <w:r w:rsidRPr="00611F6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at the Durban site (MRU, </w:t>
      </w:r>
      <w:r w:rsidRPr="00611F61">
        <w:rPr>
          <w:rFonts w:ascii="Times New Roman" w:hAnsi="Times New Roman" w:cs="Times New Roman"/>
        </w:rPr>
        <w:t>Table S</w:t>
      </w:r>
      <w:r w:rsidR="00731F7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) and the East London site (ECRU, Table S</w:t>
      </w:r>
      <w:r w:rsidR="00731F73">
        <w:rPr>
          <w:rFonts w:ascii="Times New Roman" w:hAnsi="Times New Roman" w:cs="Times New Roman"/>
        </w:rPr>
        <w:t>4</w:t>
      </w:r>
      <w:r w:rsidRPr="00611F61">
        <w:rPr>
          <w:rFonts w:ascii="Times New Roman" w:hAnsi="Times New Roman" w:cs="Times New Roman"/>
        </w:rPr>
        <w:t>).</w:t>
      </w:r>
      <w:r w:rsidR="009F513F">
        <w:rPr>
          <w:rFonts w:ascii="Times New Roman" w:hAnsi="Times New Roman" w:cs="Times New Roman"/>
        </w:rPr>
        <w:t xml:space="preserve"> Concentration is represented as </w:t>
      </w:r>
      <w:proofErr w:type="spellStart"/>
      <w:r w:rsidR="00107B60">
        <w:rPr>
          <w:rFonts w:ascii="Times New Roman" w:hAnsi="Times New Roman" w:cs="Times New Roman"/>
        </w:rPr>
        <w:t>pg</w:t>
      </w:r>
      <w:proofErr w:type="spellEnd"/>
      <w:r w:rsidR="00107B60">
        <w:rPr>
          <w:rFonts w:ascii="Times New Roman" w:hAnsi="Times New Roman" w:cs="Times New Roman"/>
        </w:rPr>
        <w:t>/mL</w:t>
      </w:r>
      <w:r w:rsidR="009F513F">
        <w:rPr>
          <w:rFonts w:ascii="Times New Roman" w:hAnsi="Times New Roman" w:cs="Times New Roman"/>
        </w:rPr>
        <w:t xml:space="preserve"> for all soluble mediators </w:t>
      </w:r>
      <w:r w:rsidR="00382BB0">
        <w:rPr>
          <w:rFonts w:ascii="Times New Roman" w:hAnsi="Times New Roman" w:cs="Times New Roman"/>
        </w:rPr>
        <w:t>apart from</w:t>
      </w:r>
      <w:r w:rsidR="009F513F">
        <w:rPr>
          <w:rFonts w:ascii="Times New Roman" w:hAnsi="Times New Roman" w:cs="Times New Roman"/>
        </w:rPr>
        <w:t xml:space="preserve"> CRP</w:t>
      </w:r>
      <w:r w:rsidR="005F5679">
        <w:rPr>
          <w:rFonts w:ascii="Times New Roman" w:hAnsi="Times New Roman" w:cs="Times New Roman"/>
        </w:rPr>
        <w:t xml:space="preserve"> and RANTES</w:t>
      </w:r>
      <w:r w:rsidR="009F513F">
        <w:rPr>
          <w:rFonts w:ascii="Times New Roman" w:hAnsi="Times New Roman" w:cs="Times New Roman"/>
        </w:rPr>
        <w:t xml:space="preserve"> which </w:t>
      </w:r>
      <w:r w:rsidR="005F5679">
        <w:rPr>
          <w:rFonts w:ascii="Times New Roman" w:hAnsi="Times New Roman" w:cs="Times New Roman"/>
        </w:rPr>
        <w:t>are</w:t>
      </w:r>
      <w:r w:rsidR="009F513F">
        <w:rPr>
          <w:rFonts w:ascii="Times New Roman" w:hAnsi="Times New Roman" w:cs="Times New Roman"/>
        </w:rPr>
        <w:t xml:space="preserve"> represented as </w:t>
      </w:r>
      <w:r w:rsidR="00107B60">
        <w:rPr>
          <w:rFonts w:ascii="Times New Roman" w:hAnsi="Times New Roman" w:cs="Times New Roman"/>
        </w:rPr>
        <w:t>ng/</w:t>
      </w:r>
      <w:proofErr w:type="spellStart"/>
      <w:r w:rsidR="00107B60">
        <w:rPr>
          <w:rFonts w:ascii="Times New Roman" w:hAnsi="Times New Roman" w:cs="Times New Roman"/>
        </w:rPr>
        <w:t>mL</w:t>
      </w:r>
      <w:r w:rsidR="009F513F">
        <w:rPr>
          <w:rFonts w:ascii="Times New Roman" w:hAnsi="Times New Roman" w:cs="Times New Roman"/>
        </w:rPr>
        <w:t>.</w:t>
      </w:r>
      <w:proofErr w:type="spellEnd"/>
      <w:r w:rsidRPr="00611F61">
        <w:rPr>
          <w:rFonts w:ascii="Times New Roman" w:hAnsi="Times New Roman" w:cs="Times New Roman"/>
        </w:rPr>
        <w:t xml:space="preserve"> Boxes indicate interquartile range and error bars indicate range. Each coloured line represents one woman and immune mediator changes over time. *Within-group comparisons (D0 to 25W) were calculated using Wilcoxon paired signed-rank tests. </w:t>
      </w:r>
      <w:r w:rsidRPr="00611F61">
        <w:rPr>
          <w:rFonts w:ascii="Times New Roman" w:hAnsi="Times New Roman" w:cs="Times New Roman"/>
          <w:vertAlign w:val="superscript"/>
        </w:rPr>
        <w:t>#</w:t>
      </w:r>
      <w:r w:rsidRPr="00611F61">
        <w:rPr>
          <w:rFonts w:ascii="Times New Roman" w:hAnsi="Times New Roman" w:cs="Times New Roman"/>
        </w:rPr>
        <w:t xml:space="preserve">Between-group comparisons (DMPA-IM D0 vs NET-EN D0 and DMPA-IM 25W vs NET-EN 25W) were calculated using Mann-Whitney tests. Significance is indicated as **** p&lt;0.0001, *** p&lt;0.001, ** or </w:t>
      </w:r>
      <w:r w:rsidRPr="00611F61">
        <w:rPr>
          <w:rFonts w:ascii="Times New Roman" w:hAnsi="Times New Roman" w:cs="Times New Roman"/>
          <w:vertAlign w:val="superscript"/>
        </w:rPr>
        <w:t>#</w:t>
      </w:r>
      <w:proofErr w:type="gramStart"/>
      <w:r w:rsidRPr="00611F61">
        <w:rPr>
          <w:rFonts w:ascii="Times New Roman" w:hAnsi="Times New Roman" w:cs="Times New Roman"/>
          <w:vertAlign w:val="superscript"/>
        </w:rPr>
        <w:t>#</w:t>
      </w:r>
      <w:r w:rsidRPr="00611F61">
        <w:rPr>
          <w:rFonts w:ascii="Times New Roman" w:hAnsi="Times New Roman" w:cs="Times New Roman"/>
        </w:rPr>
        <w:t xml:space="preserve">  p</w:t>
      </w:r>
      <w:proofErr w:type="gramEnd"/>
      <w:r w:rsidRPr="00611F61">
        <w:rPr>
          <w:rFonts w:ascii="Times New Roman" w:hAnsi="Times New Roman" w:cs="Times New Roman"/>
        </w:rPr>
        <w:t xml:space="preserve">&lt;0.01, * or </w:t>
      </w:r>
      <w:r w:rsidRPr="00611F61">
        <w:rPr>
          <w:rFonts w:ascii="Times New Roman" w:hAnsi="Times New Roman" w:cs="Times New Roman"/>
          <w:vertAlign w:val="superscript"/>
        </w:rPr>
        <w:t>#</w:t>
      </w:r>
      <w:r w:rsidRPr="00611F61">
        <w:rPr>
          <w:rFonts w:ascii="Times New Roman" w:hAnsi="Times New Roman" w:cs="Times New Roman"/>
        </w:rPr>
        <w:t xml:space="preserve"> p&lt;0.05. TNF-α: </w:t>
      </w:r>
      <w:proofErr w:type="spellStart"/>
      <w:r w:rsidRPr="00611F61">
        <w:rPr>
          <w:rFonts w:ascii="Times New Roman" w:hAnsi="Times New Roman" w:cs="Times New Roman"/>
        </w:rPr>
        <w:t>tumor</w:t>
      </w:r>
      <w:proofErr w:type="spellEnd"/>
      <w:r w:rsidRPr="00611F61">
        <w:rPr>
          <w:rFonts w:ascii="Times New Roman" w:hAnsi="Times New Roman" w:cs="Times New Roman"/>
        </w:rPr>
        <w:t xml:space="preserve"> necrosis factor α, IL: interleukin, CRP: C-reactive protein, MIP: macrophage inflammatory protein, IP-10: interferon gamma-induced protein 10, RANTES: regulated on activation, normal T cell expressed and secreted, IFN: interferon, MCP-1: monocyte chemoattractant protein 1, SLPI: secretory leukocyte protease inhibitor, HβD-2: human beta-defensin 2, G-CSF: granulocyte-colony stimulating factor, GM-CSF: granulocyte-macrophage colony-stimulating factor, FGF2: fibroblast growth factor 2, VEGF: vascular endothelial growth factor.</w:t>
      </w:r>
    </w:p>
    <w:p w14:paraId="207936D4" w14:textId="77777777" w:rsidR="00F3585D" w:rsidRPr="00611F61" w:rsidRDefault="00F3585D" w:rsidP="00611F61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sectPr w:rsidR="00F3585D" w:rsidRPr="00611F61" w:rsidSect="00F95743">
      <w:footerReference w:type="default" r:id="rId10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6034D" w14:textId="77777777" w:rsidR="00D86CD1" w:rsidRDefault="00D86CD1" w:rsidP="004C1ED6">
      <w:pPr>
        <w:spacing w:after="0" w:line="240" w:lineRule="auto"/>
      </w:pPr>
      <w:r>
        <w:separator/>
      </w:r>
    </w:p>
  </w:endnote>
  <w:endnote w:type="continuationSeparator" w:id="0">
    <w:p w14:paraId="702DF0DB" w14:textId="77777777" w:rsidR="00D86CD1" w:rsidRDefault="00D86CD1" w:rsidP="004C1E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416476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CDCFDA" w14:textId="11E17C68" w:rsidR="004C1ED6" w:rsidRDefault="004C1E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5D8CEE8" w14:textId="77777777" w:rsidR="004C1ED6" w:rsidRDefault="004C1E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04F15" w14:textId="77777777" w:rsidR="00D86CD1" w:rsidRDefault="00D86CD1" w:rsidP="004C1ED6">
      <w:pPr>
        <w:spacing w:after="0" w:line="240" w:lineRule="auto"/>
      </w:pPr>
      <w:r>
        <w:separator/>
      </w:r>
    </w:p>
  </w:footnote>
  <w:footnote w:type="continuationSeparator" w:id="0">
    <w:p w14:paraId="503A7006" w14:textId="77777777" w:rsidR="00D86CD1" w:rsidRDefault="00D86CD1" w:rsidP="004C1E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15D"/>
    <w:rsid w:val="00024C1E"/>
    <w:rsid w:val="00037CE8"/>
    <w:rsid w:val="000A1F0D"/>
    <w:rsid w:val="000E76B0"/>
    <w:rsid w:val="000F0EAE"/>
    <w:rsid w:val="00107B60"/>
    <w:rsid w:val="0011357A"/>
    <w:rsid w:val="001B62DC"/>
    <w:rsid w:val="001C4DEA"/>
    <w:rsid w:val="00231102"/>
    <w:rsid w:val="00260632"/>
    <w:rsid w:val="002754B3"/>
    <w:rsid w:val="003265A7"/>
    <w:rsid w:val="00382BB0"/>
    <w:rsid w:val="003922C0"/>
    <w:rsid w:val="003B0FA5"/>
    <w:rsid w:val="003B310C"/>
    <w:rsid w:val="003B3323"/>
    <w:rsid w:val="003C4716"/>
    <w:rsid w:val="003D4850"/>
    <w:rsid w:val="003E73A8"/>
    <w:rsid w:val="00416047"/>
    <w:rsid w:val="004350F1"/>
    <w:rsid w:val="004C1ED6"/>
    <w:rsid w:val="004D7A55"/>
    <w:rsid w:val="004F7C22"/>
    <w:rsid w:val="00592EAF"/>
    <w:rsid w:val="005C2A32"/>
    <w:rsid w:val="005F5679"/>
    <w:rsid w:val="00611F61"/>
    <w:rsid w:val="006C62DF"/>
    <w:rsid w:val="006F14A0"/>
    <w:rsid w:val="00731F73"/>
    <w:rsid w:val="0073340E"/>
    <w:rsid w:val="007463D9"/>
    <w:rsid w:val="00766071"/>
    <w:rsid w:val="00766210"/>
    <w:rsid w:val="007964BF"/>
    <w:rsid w:val="007E3711"/>
    <w:rsid w:val="00800E84"/>
    <w:rsid w:val="008F6525"/>
    <w:rsid w:val="0092692D"/>
    <w:rsid w:val="009530D7"/>
    <w:rsid w:val="00964182"/>
    <w:rsid w:val="0097115D"/>
    <w:rsid w:val="00990839"/>
    <w:rsid w:val="009F513F"/>
    <w:rsid w:val="00A06C90"/>
    <w:rsid w:val="00A21BD7"/>
    <w:rsid w:val="00A35168"/>
    <w:rsid w:val="00A5391F"/>
    <w:rsid w:val="00AB12AA"/>
    <w:rsid w:val="00AD1A99"/>
    <w:rsid w:val="00AE0102"/>
    <w:rsid w:val="00B36128"/>
    <w:rsid w:val="00B76FDE"/>
    <w:rsid w:val="00C7533C"/>
    <w:rsid w:val="00CB4C27"/>
    <w:rsid w:val="00D64832"/>
    <w:rsid w:val="00D86CD1"/>
    <w:rsid w:val="00DF73CC"/>
    <w:rsid w:val="00E80354"/>
    <w:rsid w:val="00ED48DE"/>
    <w:rsid w:val="00EE6BFC"/>
    <w:rsid w:val="00EF4B8E"/>
    <w:rsid w:val="00F3585D"/>
    <w:rsid w:val="00F54F04"/>
    <w:rsid w:val="00F614E9"/>
    <w:rsid w:val="00F94D9E"/>
    <w:rsid w:val="00F95743"/>
    <w:rsid w:val="00FE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0C527F"/>
  <w15:chartTrackingRefBased/>
  <w15:docId w15:val="{6310F1F1-8643-4109-B720-98D06B597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1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1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1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1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1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1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1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1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1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1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1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1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1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1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1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1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1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1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1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1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1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1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1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1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1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1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1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1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15D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uiPriority w:val="99"/>
    <w:unhideWhenUsed/>
    <w:rsid w:val="0076621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66210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66210"/>
    <w:rPr>
      <w:sz w:val="16"/>
      <w:szCs w:val="16"/>
    </w:rPr>
  </w:style>
  <w:style w:type="paragraph" w:styleId="Revision">
    <w:name w:val="Revision"/>
    <w:hidden/>
    <w:uiPriority w:val="99"/>
    <w:semiHidden/>
    <w:rsid w:val="00CB4C27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4C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4C27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C1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ED6"/>
  </w:style>
  <w:style w:type="paragraph" w:styleId="Footer">
    <w:name w:val="footer"/>
    <w:basedOn w:val="Normal"/>
    <w:link w:val="FooterChar"/>
    <w:uiPriority w:val="99"/>
    <w:unhideWhenUsed/>
    <w:rsid w:val="004C1ED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BICK</dc:creator>
  <cp:keywords/>
  <dc:description/>
  <cp:lastModifiedBy>ALEXIS BICK</cp:lastModifiedBy>
  <cp:revision>2</cp:revision>
  <dcterms:created xsi:type="dcterms:W3CDTF">2026-06-24T14:16:00Z</dcterms:created>
  <dcterms:modified xsi:type="dcterms:W3CDTF">2026-06-24T14:16:00Z</dcterms:modified>
</cp:coreProperties>
</file>