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6C212" w14:textId="77777777" w:rsidR="00CB0002" w:rsidRDefault="00000000">
      <w:r>
        <w:rPr>
          <w:rFonts w:hint="eastAsia"/>
          <w:noProof/>
        </w:rPr>
        <w:drawing>
          <wp:inline distT="0" distB="0" distL="114300" distR="114300" wp14:anchorId="06087DC0" wp14:editId="0ECCDDF5">
            <wp:extent cx="5266690" cy="3950335"/>
            <wp:effectExtent l="0" t="0" r="10160" b="12065"/>
            <wp:docPr id="3" name="图片 3" descr="yellowfin_tuna_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yellowfin_tuna_AN"/>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p>
    <w:p w14:paraId="564FF1A0" w14:textId="77777777" w:rsidR="00CB0002" w:rsidRDefault="00000000">
      <w:pPr>
        <w:rPr>
          <w:rFonts w:ascii="Times New Roman" w:eastAsia="宋体" w:hAnsi="Times New Roman"/>
          <w:szCs w:val="21"/>
        </w:rPr>
      </w:pPr>
      <w:r>
        <w:rPr>
          <w:rFonts w:ascii="Times New Roman" w:eastAsia="宋体" w:hAnsi="Times New Roman" w:hint="eastAsia"/>
          <w:szCs w:val="21"/>
        </w:rPr>
        <w:t>Supplementary</w:t>
      </w:r>
      <w:r>
        <w:rPr>
          <w:rFonts w:ascii="Times New Roman" w:eastAsia="宋体" w:hAnsi="Times New Roman"/>
          <w:szCs w:val="21"/>
        </w:rPr>
        <w:t xml:space="preserve"> Figure 1. </w:t>
      </w:r>
      <w:bookmarkStart w:id="0" w:name="_Hlk104209266"/>
      <w:r>
        <w:rPr>
          <w:rFonts w:ascii="Times New Roman" w:eastAsia="宋体" w:hAnsi="Times New Roman"/>
          <w:szCs w:val="21"/>
        </w:rPr>
        <w:t xml:space="preserve">CMSY model construction </w:t>
      </w:r>
      <w:r>
        <w:rPr>
          <w:rFonts w:ascii="Times New Roman" w:hAnsi="Times New Roman"/>
          <w:szCs w:val="21"/>
          <w:lang w:val="en-GB"/>
        </w:rPr>
        <w:t>diagnostics</w:t>
      </w:r>
      <w:r>
        <w:rPr>
          <w:rFonts w:ascii="Times New Roman" w:eastAsia="宋体" w:hAnsi="Times New Roman"/>
          <w:szCs w:val="21"/>
        </w:rPr>
        <w:t xml:space="preserve"> for </w:t>
      </w:r>
      <w:r>
        <w:rPr>
          <w:rFonts w:ascii="Times New Roman" w:eastAsia="宋体" w:hAnsi="Times New Roman" w:hint="eastAsia"/>
          <w:szCs w:val="21"/>
        </w:rPr>
        <w:t>yellowfin tuna</w:t>
      </w:r>
      <w:r>
        <w:rPr>
          <w:rFonts w:ascii="Times New Roman" w:eastAsia="宋体" w:hAnsi="Times New Roman"/>
          <w:szCs w:val="21"/>
        </w:rPr>
        <w:t xml:space="preserve"> in the </w:t>
      </w:r>
      <w:r>
        <w:rPr>
          <w:rFonts w:ascii="Times New Roman" w:eastAsia="宋体" w:hAnsi="Times New Roman" w:hint="eastAsia"/>
          <w:szCs w:val="21"/>
        </w:rPr>
        <w:t>Indian Ocean</w:t>
      </w:r>
      <w:r>
        <w:rPr>
          <w:rFonts w:ascii="Times New Roman" w:eastAsia="宋体" w:hAnsi="Times New Roman"/>
          <w:szCs w:val="21"/>
        </w:rPr>
        <w:t xml:space="preserve"> area</w:t>
      </w:r>
      <w:bookmarkEnd w:id="0"/>
      <w:r>
        <w:rPr>
          <w:rFonts w:ascii="Times New Roman" w:eastAsia="宋体" w:hAnsi="Times New Roman"/>
          <w:szCs w:val="21"/>
        </w:rPr>
        <w:t xml:space="preserve">. The black curve in A shows the time series of catches and the blue curve shows the smoothed data with indication of highest and lowest catch in red, as used in the estimation of prior biomass by the default rules. Panel B and C </w:t>
      </w:r>
      <w:proofErr w:type="gramStart"/>
      <w:r>
        <w:rPr>
          <w:rFonts w:ascii="Times New Roman" w:eastAsia="宋体" w:hAnsi="Times New Roman"/>
          <w:szCs w:val="21"/>
        </w:rPr>
        <w:t>shows</w:t>
      </w:r>
      <w:proofErr w:type="gramEnd"/>
      <w:r>
        <w:rPr>
          <w:rFonts w:ascii="Times New Roman" w:eastAsia="宋体" w:hAnsi="Times New Roman"/>
          <w:szCs w:val="21"/>
        </w:rPr>
        <w:t xml:space="preserve"> the explored log</w:t>
      </w:r>
      <w:r>
        <w:rPr>
          <w:rFonts w:ascii="Times New Roman" w:eastAsia="宋体" w:hAnsi="Times New Roman"/>
          <w:i/>
          <w:szCs w:val="21"/>
        </w:rPr>
        <w:t xml:space="preserve"> r-k</w:t>
      </w:r>
      <w:r>
        <w:rPr>
          <w:rFonts w:ascii="Times New Roman" w:eastAsia="宋体" w:hAnsi="Times New Roman"/>
          <w:szCs w:val="21"/>
        </w:rPr>
        <w:t xml:space="preserve"> space, with the grey and black dots are the viable</w:t>
      </w:r>
      <w:r>
        <w:rPr>
          <w:rFonts w:ascii="Times New Roman" w:eastAsia="宋体" w:hAnsi="Times New Roman"/>
          <w:i/>
          <w:szCs w:val="21"/>
        </w:rPr>
        <w:t xml:space="preserve"> r-k</w:t>
      </w:r>
      <w:r>
        <w:rPr>
          <w:rFonts w:ascii="Times New Roman" w:eastAsia="宋体" w:hAnsi="Times New Roman"/>
          <w:szCs w:val="21"/>
        </w:rPr>
        <w:t xml:space="preserve"> pairs found by CMSY. The point in the center of the blue cross is the most likely </w:t>
      </w:r>
      <w:r>
        <w:rPr>
          <w:rFonts w:ascii="Times New Roman" w:eastAsia="宋体" w:hAnsi="Times New Roman"/>
          <w:i/>
          <w:szCs w:val="21"/>
        </w:rPr>
        <w:t>r-k</w:t>
      </w:r>
      <w:r>
        <w:rPr>
          <w:rFonts w:ascii="Times New Roman" w:eastAsia="宋体" w:hAnsi="Times New Roman"/>
          <w:szCs w:val="21"/>
        </w:rPr>
        <w:t xml:space="preserve"> pair predicted by CMSY, and horizontal and vertical error bars approximate 95% confidence limits for </w:t>
      </w:r>
      <w:r>
        <w:rPr>
          <w:rFonts w:ascii="Times New Roman" w:eastAsia="宋体" w:hAnsi="Times New Roman"/>
          <w:i/>
          <w:szCs w:val="21"/>
        </w:rPr>
        <w:t>r</w:t>
      </w:r>
      <w:r>
        <w:rPr>
          <w:rFonts w:ascii="Times New Roman" w:eastAsia="宋体" w:hAnsi="Times New Roman"/>
          <w:szCs w:val="21"/>
        </w:rPr>
        <w:t xml:space="preserve"> and </w:t>
      </w:r>
      <w:r>
        <w:rPr>
          <w:rFonts w:ascii="Times New Roman" w:eastAsia="宋体" w:hAnsi="Times New Roman"/>
          <w:i/>
          <w:szCs w:val="21"/>
        </w:rPr>
        <w:t>k</w:t>
      </w:r>
      <w:r>
        <w:rPr>
          <w:rFonts w:ascii="Times New Roman" w:eastAsia="宋体" w:hAnsi="Times New Roman"/>
          <w:szCs w:val="21"/>
        </w:rPr>
        <w:t xml:space="preserve">, respectively. The dotted rectangle indicates the range of the provided priors. The blue curve in D shows the median of the biomass trajectories estimated by </w:t>
      </w:r>
      <w:proofErr w:type="gramStart"/>
      <w:r>
        <w:rPr>
          <w:rFonts w:ascii="Times New Roman" w:eastAsia="宋体" w:hAnsi="Times New Roman"/>
          <w:szCs w:val="21"/>
        </w:rPr>
        <w:t>CMSY ,</w:t>
      </w:r>
      <w:proofErr w:type="gramEnd"/>
      <w:r>
        <w:rPr>
          <w:rFonts w:ascii="Times New Roman" w:eastAsia="宋体" w:hAnsi="Times New Roman"/>
          <w:szCs w:val="21"/>
        </w:rPr>
        <w:t xml:space="preserve"> with the dotted lines indicate the 2.5th and 97.5th percentiles. The blue curves in panel E show the CMSY predictions for exploitation. Panel F shows the Schaefer equilibrium curve of catch/MSY relative to </w:t>
      </w:r>
      <w:r>
        <w:rPr>
          <w:rFonts w:ascii="Times New Roman" w:eastAsia="宋体" w:hAnsi="Times New Roman"/>
          <w:i/>
          <w:szCs w:val="21"/>
        </w:rPr>
        <w:t>B</w:t>
      </w:r>
      <w:r>
        <w:rPr>
          <w:rFonts w:ascii="Times New Roman" w:eastAsia="宋体" w:hAnsi="Times New Roman"/>
          <w:szCs w:val="21"/>
        </w:rPr>
        <w:t>/</w:t>
      </w:r>
      <w:r>
        <w:rPr>
          <w:rFonts w:ascii="Times New Roman" w:eastAsia="宋体" w:hAnsi="Times New Roman"/>
          <w:i/>
          <w:szCs w:val="21"/>
        </w:rPr>
        <w:t>k</w:t>
      </w:r>
      <w:r>
        <w:rPr>
          <w:rFonts w:ascii="Times New Roman" w:eastAsia="宋体" w:hAnsi="Times New Roman"/>
          <w:szCs w:val="21"/>
        </w:rPr>
        <w:t xml:space="preserve">, indented at </w:t>
      </w:r>
      <w:r>
        <w:rPr>
          <w:rFonts w:ascii="Times New Roman" w:eastAsia="宋体" w:hAnsi="Times New Roman"/>
          <w:i/>
          <w:szCs w:val="21"/>
        </w:rPr>
        <w:t>B</w:t>
      </w:r>
      <w:r>
        <w:rPr>
          <w:rFonts w:ascii="Times New Roman" w:eastAsia="宋体" w:hAnsi="Times New Roman"/>
          <w:szCs w:val="21"/>
        </w:rPr>
        <w:t>/</w:t>
      </w:r>
      <w:r>
        <w:rPr>
          <w:rFonts w:ascii="Times New Roman" w:eastAsia="宋体" w:hAnsi="Times New Roman"/>
          <w:i/>
          <w:szCs w:val="21"/>
        </w:rPr>
        <w:t>k</w:t>
      </w:r>
      <w:r>
        <w:rPr>
          <w:rFonts w:ascii="Times New Roman" w:eastAsia="宋体" w:hAnsi="Times New Roman"/>
          <w:szCs w:val="21"/>
        </w:rPr>
        <w:t xml:space="preserve"> &lt; 0.25 to account for reduced recruitment at low stock sizes. The blue curve shows the predictions by </w:t>
      </w:r>
      <w:proofErr w:type="gramStart"/>
      <w:r>
        <w:rPr>
          <w:rFonts w:ascii="Times New Roman" w:eastAsia="宋体" w:hAnsi="Times New Roman"/>
          <w:szCs w:val="21"/>
        </w:rPr>
        <w:t>CMSY ,</w:t>
      </w:r>
      <w:proofErr w:type="gramEnd"/>
      <w:r>
        <w:rPr>
          <w:rFonts w:ascii="Times New Roman" w:eastAsia="宋体" w:hAnsi="Times New Roman"/>
          <w:szCs w:val="21"/>
        </w:rPr>
        <w:t xml:space="preserve"> from first year (square) to last years (triangle).</w:t>
      </w:r>
    </w:p>
    <w:p w14:paraId="53F563BC" w14:textId="77777777" w:rsidR="00CB0002" w:rsidRDefault="00CB0002"/>
    <w:p w14:paraId="0800109F" w14:textId="77777777" w:rsidR="00CB0002" w:rsidRDefault="00CB0002"/>
    <w:p w14:paraId="058A57C4" w14:textId="77777777" w:rsidR="00CB0002" w:rsidRDefault="00CB0002"/>
    <w:p w14:paraId="2755AFEE" w14:textId="77777777" w:rsidR="00CB0002" w:rsidRDefault="00CB0002"/>
    <w:p w14:paraId="1D4AFA01" w14:textId="77777777" w:rsidR="00CB0002" w:rsidRDefault="00CB0002"/>
    <w:p w14:paraId="6065C936" w14:textId="77777777" w:rsidR="00CB0002" w:rsidRDefault="00CB0002"/>
    <w:p w14:paraId="3BE4F615" w14:textId="77777777" w:rsidR="00CB0002" w:rsidRDefault="00CB0002"/>
    <w:p w14:paraId="59C158D2" w14:textId="77777777" w:rsidR="00CB0002" w:rsidRDefault="00CB0002"/>
    <w:p w14:paraId="69795E48" w14:textId="77777777" w:rsidR="00CB0002" w:rsidRDefault="00CB0002"/>
    <w:p w14:paraId="7022E2DE" w14:textId="77777777" w:rsidR="00CB0002" w:rsidRDefault="00CB0002"/>
    <w:p w14:paraId="05666260" w14:textId="77777777" w:rsidR="00CB0002" w:rsidRDefault="00CB0002"/>
    <w:p w14:paraId="43D8BCF0" w14:textId="77777777" w:rsidR="00CB0002" w:rsidRDefault="00CB0002"/>
    <w:p w14:paraId="6CD528A3" w14:textId="77777777" w:rsidR="00CB0002" w:rsidRDefault="00000000">
      <w:r>
        <w:rPr>
          <w:rFonts w:hint="eastAsia"/>
          <w:noProof/>
        </w:rPr>
        <w:drawing>
          <wp:inline distT="0" distB="0" distL="114300" distR="114300" wp14:anchorId="646BC41D" wp14:editId="154F6AA6">
            <wp:extent cx="5266690" cy="3950335"/>
            <wp:effectExtent l="0" t="0" r="10160" b="12065"/>
            <wp:docPr id="1" name="图片 1" descr="yellowfin_tuna_PP_CM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yellowfin_tuna_PP_CMSY"/>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4884F32B" w14:textId="77777777" w:rsidR="00CB0002" w:rsidRDefault="00000000">
      <w:pPr>
        <w:spacing w:line="360" w:lineRule="auto"/>
        <w:rPr>
          <w:rFonts w:ascii="Times New Roman" w:eastAsia="宋体" w:hAnsi="Times New Roman"/>
          <w:szCs w:val="21"/>
        </w:rPr>
      </w:pPr>
      <w:bookmarkStart w:id="1" w:name="_Hlk104209312"/>
      <w:r>
        <w:rPr>
          <w:rFonts w:ascii="Times New Roman" w:eastAsia="宋体" w:hAnsi="Times New Roman" w:hint="eastAsia"/>
          <w:szCs w:val="21"/>
        </w:rPr>
        <w:t>Supplementary</w:t>
      </w:r>
      <w:r>
        <w:rPr>
          <w:rFonts w:ascii="Times New Roman" w:eastAsia="宋体" w:hAnsi="Times New Roman"/>
          <w:szCs w:val="21"/>
        </w:rPr>
        <w:t xml:space="preserve"> </w:t>
      </w:r>
      <w:r>
        <w:rPr>
          <w:rFonts w:ascii="Times New Roman" w:eastAsia="宋体" w:hAnsi="Times New Roman" w:hint="eastAsia"/>
          <w:szCs w:val="21"/>
        </w:rPr>
        <w:t>Figure</w:t>
      </w:r>
      <w:r>
        <w:rPr>
          <w:rFonts w:ascii="Times New Roman" w:eastAsia="宋体" w:hAnsi="Times New Roman"/>
          <w:szCs w:val="21"/>
        </w:rPr>
        <w:t xml:space="preserve"> 2. Comparison of prior and posterior densities (same area under curves, </w:t>
      </w:r>
      <w:r>
        <w:rPr>
          <w:rFonts w:ascii="Times New Roman" w:eastAsia="宋体" w:hAnsi="Times New Roman" w:hint="eastAsia"/>
          <w:szCs w:val="21"/>
        </w:rPr>
        <w:t>PPVR</w:t>
      </w:r>
      <w:r>
        <w:rPr>
          <w:rFonts w:ascii="Times New Roman" w:eastAsia="宋体" w:hAnsi="Times New Roman"/>
          <w:szCs w:val="21"/>
        </w:rPr>
        <w:t>) for productivity (</w:t>
      </w:r>
      <w:r>
        <w:rPr>
          <w:rFonts w:ascii="Times New Roman" w:eastAsia="宋体" w:hAnsi="Times New Roman"/>
          <w:i/>
          <w:szCs w:val="21"/>
        </w:rPr>
        <w:t>r</w:t>
      </w:r>
      <w:r>
        <w:rPr>
          <w:rFonts w:ascii="Times New Roman" w:eastAsia="宋体" w:hAnsi="Times New Roman"/>
          <w:szCs w:val="21"/>
        </w:rPr>
        <w:t>), maximum stock size (</w:t>
      </w:r>
      <w:r>
        <w:rPr>
          <w:rFonts w:ascii="Times New Roman" w:eastAsia="宋体" w:hAnsi="Times New Roman"/>
          <w:i/>
          <w:szCs w:val="21"/>
        </w:rPr>
        <w:t>k</w:t>
      </w:r>
      <w:r>
        <w:rPr>
          <w:rFonts w:ascii="Times New Roman" w:eastAsia="宋体" w:hAnsi="Times New Roman"/>
          <w:szCs w:val="21"/>
        </w:rPr>
        <w:t>), maximum sustainably yield (</w:t>
      </w:r>
      <w:r>
        <w:rPr>
          <w:rFonts w:ascii="Times New Roman" w:eastAsia="宋体" w:hAnsi="Times New Roman"/>
          <w:i/>
          <w:szCs w:val="21"/>
        </w:rPr>
        <w:t>MSY</w:t>
      </w:r>
      <w:r>
        <w:rPr>
          <w:rFonts w:ascii="Times New Roman" w:eastAsia="宋体" w:hAnsi="Times New Roman"/>
          <w:szCs w:val="21"/>
        </w:rPr>
        <w:t xml:space="preserve">) </w:t>
      </w:r>
      <w:r>
        <w:rPr>
          <w:rFonts w:ascii="Times New Roman" w:eastAsia="宋体" w:hAnsi="Times New Roman" w:hint="eastAsia"/>
          <w:szCs w:val="21"/>
        </w:rPr>
        <w:t>by</w:t>
      </w:r>
      <w:r>
        <w:rPr>
          <w:rFonts w:ascii="Times New Roman" w:eastAsia="宋体" w:hAnsi="Times New Roman"/>
          <w:szCs w:val="21"/>
        </w:rPr>
        <w:t xml:space="preserve"> </w:t>
      </w:r>
      <w:r>
        <w:rPr>
          <w:rFonts w:ascii="Times New Roman" w:eastAsia="宋体" w:hAnsi="Times New Roman" w:hint="eastAsia"/>
          <w:szCs w:val="21"/>
        </w:rPr>
        <w:t xml:space="preserve">CMSY </w:t>
      </w:r>
      <w:r>
        <w:rPr>
          <w:rFonts w:ascii="Times New Roman" w:eastAsia="宋体" w:hAnsi="Times New Roman"/>
          <w:szCs w:val="21"/>
        </w:rPr>
        <w:t xml:space="preserve">and </w:t>
      </w:r>
      <w:r>
        <w:rPr>
          <w:rFonts w:ascii="Times New Roman" w:eastAsia="宋体" w:hAnsi="Times New Roman" w:hint="eastAsia"/>
          <w:szCs w:val="21"/>
        </w:rPr>
        <w:t>BSM</w:t>
      </w:r>
    </w:p>
    <w:p w14:paraId="2F719F80" w14:textId="77777777" w:rsidR="00CB0002" w:rsidRDefault="00CB0002">
      <w:pPr>
        <w:spacing w:line="360" w:lineRule="auto"/>
        <w:rPr>
          <w:rFonts w:ascii="Times New Roman" w:eastAsia="宋体" w:hAnsi="Times New Roman"/>
          <w:szCs w:val="21"/>
        </w:rPr>
      </w:pPr>
    </w:p>
    <w:p w14:paraId="3500B40A" w14:textId="77777777" w:rsidR="00CB0002" w:rsidRDefault="00CB0002">
      <w:pPr>
        <w:spacing w:line="360" w:lineRule="auto"/>
        <w:rPr>
          <w:rFonts w:ascii="Times New Roman" w:eastAsia="宋体" w:hAnsi="Times New Roman"/>
          <w:szCs w:val="21"/>
        </w:rPr>
      </w:pPr>
    </w:p>
    <w:p w14:paraId="7707A27F" w14:textId="77777777" w:rsidR="00CB0002" w:rsidRDefault="00CB0002">
      <w:pPr>
        <w:spacing w:line="360" w:lineRule="auto"/>
        <w:rPr>
          <w:rFonts w:ascii="Times New Roman" w:eastAsia="宋体" w:hAnsi="Times New Roman"/>
          <w:szCs w:val="21"/>
        </w:rPr>
      </w:pPr>
    </w:p>
    <w:p w14:paraId="7AF1CB2F" w14:textId="77777777" w:rsidR="00CB0002" w:rsidRDefault="00CB0002">
      <w:pPr>
        <w:spacing w:line="360" w:lineRule="auto"/>
        <w:rPr>
          <w:rFonts w:ascii="Times New Roman" w:eastAsia="宋体" w:hAnsi="Times New Roman"/>
          <w:szCs w:val="21"/>
        </w:rPr>
      </w:pPr>
    </w:p>
    <w:p w14:paraId="290CBD64" w14:textId="77777777" w:rsidR="00CB0002" w:rsidRDefault="00CB0002">
      <w:pPr>
        <w:spacing w:line="360" w:lineRule="auto"/>
        <w:rPr>
          <w:rFonts w:ascii="Times New Roman" w:eastAsia="宋体" w:hAnsi="Times New Roman"/>
          <w:szCs w:val="21"/>
        </w:rPr>
      </w:pPr>
    </w:p>
    <w:p w14:paraId="68CA6DC8" w14:textId="77777777" w:rsidR="00CB0002" w:rsidRDefault="00CB0002">
      <w:pPr>
        <w:spacing w:line="360" w:lineRule="auto"/>
        <w:rPr>
          <w:rFonts w:ascii="Times New Roman" w:eastAsia="宋体" w:hAnsi="Times New Roman"/>
          <w:szCs w:val="21"/>
        </w:rPr>
      </w:pPr>
    </w:p>
    <w:p w14:paraId="38E2844C" w14:textId="77777777" w:rsidR="00CB0002" w:rsidRDefault="00CB0002">
      <w:pPr>
        <w:spacing w:line="360" w:lineRule="auto"/>
        <w:rPr>
          <w:rFonts w:ascii="Times New Roman" w:eastAsia="宋体" w:hAnsi="Times New Roman"/>
          <w:szCs w:val="21"/>
        </w:rPr>
      </w:pPr>
    </w:p>
    <w:p w14:paraId="64FA2E00" w14:textId="77777777" w:rsidR="00CB0002" w:rsidRDefault="00CB0002">
      <w:pPr>
        <w:spacing w:line="360" w:lineRule="auto"/>
        <w:rPr>
          <w:rFonts w:ascii="Times New Roman" w:eastAsia="宋体" w:hAnsi="Times New Roman"/>
          <w:szCs w:val="21"/>
        </w:rPr>
      </w:pPr>
    </w:p>
    <w:p w14:paraId="6CC3A065" w14:textId="77777777" w:rsidR="00CB0002" w:rsidRDefault="00CB0002">
      <w:pPr>
        <w:spacing w:line="360" w:lineRule="auto"/>
        <w:rPr>
          <w:rFonts w:ascii="Times New Roman" w:eastAsia="宋体" w:hAnsi="Times New Roman"/>
          <w:szCs w:val="21"/>
        </w:rPr>
      </w:pPr>
    </w:p>
    <w:p w14:paraId="27ED4033" w14:textId="77777777" w:rsidR="00CB0002" w:rsidRDefault="00CB0002">
      <w:pPr>
        <w:spacing w:line="360" w:lineRule="auto"/>
        <w:rPr>
          <w:rFonts w:ascii="Times New Roman" w:eastAsia="宋体" w:hAnsi="Times New Roman"/>
          <w:szCs w:val="21"/>
        </w:rPr>
      </w:pPr>
    </w:p>
    <w:p w14:paraId="53C4A198" w14:textId="77777777" w:rsidR="00CB0002" w:rsidRDefault="00CB0002">
      <w:pPr>
        <w:spacing w:line="360" w:lineRule="auto"/>
        <w:rPr>
          <w:rFonts w:ascii="Times New Roman" w:eastAsia="宋体" w:hAnsi="Times New Roman"/>
          <w:szCs w:val="21"/>
        </w:rPr>
      </w:pPr>
    </w:p>
    <w:bookmarkEnd w:id="1"/>
    <w:p w14:paraId="39781F7B" w14:textId="77777777" w:rsidR="00CB0002" w:rsidRDefault="00000000">
      <w:r>
        <w:rPr>
          <w:rFonts w:hint="eastAsia"/>
          <w:noProof/>
        </w:rPr>
        <w:lastRenderedPageBreak/>
        <w:drawing>
          <wp:inline distT="0" distB="0" distL="114300" distR="114300" wp14:anchorId="22BB1B2D" wp14:editId="7F0E6203">
            <wp:extent cx="5266690" cy="3950335"/>
            <wp:effectExtent l="0" t="0" r="10160" b="12065"/>
            <wp:docPr id="2" name="图片 2" descr="yellowfin_tuna_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yellowfin_tuna_MAN"/>
                    <pic:cNvPicPr>
                      <a:picLocks noChangeAspect="1"/>
                    </pic:cNvPicPr>
                  </pic:nvPicPr>
                  <pic:blipFill>
                    <a:blip r:embed="rId6"/>
                    <a:stretch>
                      <a:fillRect/>
                    </a:stretch>
                  </pic:blipFill>
                  <pic:spPr>
                    <a:xfrm>
                      <a:off x="0" y="0"/>
                      <a:ext cx="5266690" cy="3950335"/>
                    </a:xfrm>
                    <a:prstGeom prst="rect">
                      <a:avLst/>
                    </a:prstGeom>
                  </pic:spPr>
                </pic:pic>
              </a:graphicData>
            </a:graphic>
          </wp:inline>
        </w:drawing>
      </w:r>
    </w:p>
    <w:p w14:paraId="505C94AA" w14:textId="77777777" w:rsidR="00CB0002" w:rsidRDefault="00000000">
      <w:pPr>
        <w:rPr>
          <w:rFonts w:ascii="Times New Roman" w:eastAsia="宋体" w:hAnsi="Times New Roman"/>
          <w:szCs w:val="21"/>
        </w:rPr>
      </w:pPr>
      <w:bookmarkStart w:id="2" w:name="_Hlk234935378"/>
      <w:r>
        <w:rPr>
          <w:rFonts w:ascii="Times New Roman" w:eastAsia="宋体" w:hAnsi="Times New Roman" w:hint="eastAsia"/>
          <w:szCs w:val="21"/>
        </w:rPr>
        <w:t>Supplementary</w:t>
      </w:r>
      <w:bookmarkEnd w:id="2"/>
      <w:r>
        <w:rPr>
          <w:rFonts w:ascii="Times New Roman" w:eastAsia="宋体" w:hAnsi="Times New Roman"/>
          <w:szCs w:val="21"/>
        </w:rPr>
        <w:t xml:space="preserve"> </w:t>
      </w:r>
      <w:r>
        <w:rPr>
          <w:rFonts w:ascii="Times New Roman" w:eastAsia="宋体" w:hAnsi="Times New Roman" w:hint="eastAsia"/>
          <w:szCs w:val="21"/>
        </w:rPr>
        <w:t>Figure</w:t>
      </w:r>
      <w:r>
        <w:rPr>
          <w:rFonts w:ascii="Times New Roman" w:eastAsia="宋体" w:hAnsi="Times New Roman"/>
          <w:szCs w:val="21"/>
        </w:rPr>
        <w:t xml:space="preserve"> </w:t>
      </w:r>
      <w:r>
        <w:rPr>
          <w:rFonts w:ascii="Times New Roman" w:eastAsia="宋体" w:hAnsi="Times New Roman" w:hint="eastAsia"/>
          <w:szCs w:val="21"/>
        </w:rPr>
        <w:t>3</w:t>
      </w:r>
      <w:r>
        <w:rPr>
          <w:rFonts w:ascii="Times New Roman" w:eastAsia="宋体" w:hAnsi="Times New Roman"/>
          <w:szCs w:val="21"/>
        </w:rPr>
        <w:t xml:space="preserve">. The </w:t>
      </w:r>
      <w:r>
        <w:rPr>
          <w:rFonts w:ascii="Times New Roman" w:eastAsia="宋体" w:hAnsi="Times New Roman" w:hint="eastAsia"/>
          <w:szCs w:val="21"/>
        </w:rPr>
        <w:t>CMSY</w:t>
      </w:r>
      <w:r>
        <w:rPr>
          <w:rFonts w:ascii="Times New Roman" w:eastAsia="宋体" w:hAnsi="Times New Roman"/>
          <w:szCs w:val="21"/>
        </w:rPr>
        <w:t xml:space="preserve"> model outputs to inform management about the stock status. The upper left panel shows catches relative to MSY, with indication of 95% confidence limits in grey. The upper right panel shows the development of predicted relative total biomass (</w:t>
      </w:r>
      <w:r>
        <w:rPr>
          <w:rFonts w:ascii="Times New Roman" w:eastAsia="宋体" w:hAnsi="Times New Roman"/>
          <w:i/>
          <w:szCs w:val="21"/>
        </w:rPr>
        <w:t>B</w:t>
      </w:r>
      <w:r>
        <w:rPr>
          <w:rFonts w:ascii="Times New Roman" w:eastAsia="宋体" w:hAnsi="Times New Roman"/>
          <w:szCs w:val="21"/>
        </w:rPr>
        <w:t>/</w:t>
      </w:r>
      <w:proofErr w:type="spellStart"/>
      <w:r>
        <w:rPr>
          <w:rFonts w:ascii="Times New Roman" w:eastAsia="宋体" w:hAnsi="Times New Roman"/>
          <w:i/>
          <w:szCs w:val="21"/>
        </w:rPr>
        <w:t>B</w:t>
      </w:r>
      <w:r>
        <w:rPr>
          <w:rFonts w:ascii="Times New Roman" w:eastAsia="宋体" w:hAnsi="Times New Roman"/>
          <w:szCs w:val="21"/>
          <w:vertAlign w:val="subscript"/>
        </w:rPr>
        <w:t>msy</w:t>
      </w:r>
      <w:proofErr w:type="spellEnd"/>
      <w:r>
        <w:rPr>
          <w:rFonts w:ascii="Times New Roman" w:eastAsia="宋体" w:hAnsi="Times New Roman"/>
          <w:szCs w:val="21"/>
        </w:rPr>
        <w:t>), with the grey area indicating uncertainty. The lower left graph shows relative exploitation (</w:t>
      </w:r>
      <w:r>
        <w:rPr>
          <w:rFonts w:ascii="Times New Roman" w:eastAsia="宋体" w:hAnsi="Times New Roman"/>
          <w:i/>
          <w:szCs w:val="21"/>
        </w:rPr>
        <w:t>F</w:t>
      </w:r>
      <w:r>
        <w:rPr>
          <w:rFonts w:ascii="Times New Roman" w:eastAsia="宋体" w:hAnsi="Times New Roman"/>
          <w:szCs w:val="21"/>
        </w:rPr>
        <w:t>/</w:t>
      </w:r>
      <w:proofErr w:type="spellStart"/>
      <w:r>
        <w:rPr>
          <w:rFonts w:ascii="Times New Roman" w:eastAsia="宋体" w:hAnsi="Times New Roman"/>
          <w:i/>
          <w:szCs w:val="21"/>
        </w:rPr>
        <w:t>F</w:t>
      </w:r>
      <w:r>
        <w:rPr>
          <w:rFonts w:ascii="Times New Roman" w:eastAsia="宋体" w:hAnsi="Times New Roman"/>
          <w:szCs w:val="21"/>
          <w:vertAlign w:val="subscript"/>
        </w:rPr>
        <w:t>msy</w:t>
      </w:r>
      <w:proofErr w:type="spellEnd"/>
      <w:r>
        <w:rPr>
          <w:rFonts w:ascii="Times New Roman" w:eastAsia="宋体" w:hAnsi="Times New Roman"/>
          <w:szCs w:val="21"/>
        </w:rPr>
        <w:t>). The lower-right panel shows the trajectory of relative stock size (</w:t>
      </w:r>
      <w:r>
        <w:rPr>
          <w:rFonts w:ascii="Times New Roman" w:eastAsia="宋体" w:hAnsi="Times New Roman"/>
          <w:i/>
          <w:szCs w:val="21"/>
        </w:rPr>
        <w:t>B</w:t>
      </w:r>
      <w:r>
        <w:rPr>
          <w:rFonts w:ascii="Times New Roman" w:eastAsia="宋体" w:hAnsi="Times New Roman"/>
          <w:szCs w:val="21"/>
        </w:rPr>
        <w:t>/</w:t>
      </w:r>
      <w:proofErr w:type="spellStart"/>
      <w:r>
        <w:rPr>
          <w:rFonts w:ascii="Times New Roman" w:eastAsia="宋体" w:hAnsi="Times New Roman"/>
          <w:i/>
          <w:szCs w:val="21"/>
        </w:rPr>
        <w:t>B</w:t>
      </w:r>
      <w:r>
        <w:rPr>
          <w:rFonts w:ascii="Times New Roman" w:eastAsia="宋体" w:hAnsi="Times New Roman"/>
          <w:szCs w:val="21"/>
          <w:vertAlign w:val="subscript"/>
        </w:rPr>
        <w:t>msy</w:t>
      </w:r>
      <w:proofErr w:type="spellEnd"/>
      <w:r>
        <w:rPr>
          <w:rFonts w:ascii="Times New Roman" w:eastAsia="宋体" w:hAnsi="Times New Roman"/>
          <w:szCs w:val="21"/>
        </w:rPr>
        <w:t>) as a function of fishing pressure (</w:t>
      </w:r>
      <w:r>
        <w:rPr>
          <w:rFonts w:ascii="Times New Roman" w:eastAsia="宋体" w:hAnsi="Times New Roman"/>
          <w:i/>
          <w:szCs w:val="21"/>
        </w:rPr>
        <w:t>F</w:t>
      </w:r>
      <w:r>
        <w:rPr>
          <w:rFonts w:ascii="Times New Roman" w:eastAsia="宋体" w:hAnsi="Times New Roman"/>
          <w:szCs w:val="21"/>
        </w:rPr>
        <w:t>/</w:t>
      </w:r>
      <w:proofErr w:type="spellStart"/>
      <w:r>
        <w:rPr>
          <w:rFonts w:ascii="Times New Roman" w:eastAsia="宋体" w:hAnsi="Times New Roman"/>
          <w:i/>
          <w:szCs w:val="21"/>
        </w:rPr>
        <w:t>F</w:t>
      </w:r>
      <w:r>
        <w:rPr>
          <w:rFonts w:ascii="Times New Roman" w:eastAsia="宋体" w:hAnsi="Times New Roman"/>
          <w:szCs w:val="21"/>
          <w:vertAlign w:val="subscript"/>
        </w:rPr>
        <w:t>msy</w:t>
      </w:r>
      <w:proofErr w:type="spellEnd"/>
      <w:r>
        <w:rPr>
          <w:rFonts w:ascii="Times New Roman" w:eastAsia="宋体" w:hAnsi="Times New Roman"/>
          <w:szCs w:val="21"/>
        </w:rPr>
        <w:t>). The “banana” shape around the assessment of the final year triangle indicates uncertainty with different confidence levels.</w:t>
      </w:r>
    </w:p>
    <w:p w14:paraId="0AC01594" w14:textId="77777777" w:rsidR="00CB0002" w:rsidRDefault="00CB0002"/>
    <w:p w14:paraId="3419BA48" w14:textId="77777777" w:rsidR="00FF636F" w:rsidRDefault="00FF636F"/>
    <w:p w14:paraId="1E24CFFB" w14:textId="77777777" w:rsidR="00FF636F" w:rsidRDefault="00FF636F"/>
    <w:p w14:paraId="3DA4D4F4" w14:textId="77777777" w:rsidR="00FF636F" w:rsidRDefault="00FF636F"/>
    <w:p w14:paraId="1533110E" w14:textId="77777777" w:rsidR="00FF636F" w:rsidRDefault="00FF636F"/>
    <w:p w14:paraId="2CCE3430" w14:textId="77777777" w:rsidR="00FF636F" w:rsidRDefault="00FF636F"/>
    <w:p w14:paraId="1FED983F" w14:textId="77777777" w:rsidR="00FF636F" w:rsidRDefault="00FF636F"/>
    <w:p w14:paraId="1ECC2740" w14:textId="77777777" w:rsidR="00FF636F" w:rsidRDefault="00FF636F"/>
    <w:p w14:paraId="46217AE4" w14:textId="77777777" w:rsidR="00FF636F" w:rsidRDefault="00FF636F"/>
    <w:p w14:paraId="433EEF04" w14:textId="77777777" w:rsidR="00FF636F" w:rsidRDefault="00FF636F"/>
    <w:p w14:paraId="03E36629" w14:textId="77777777" w:rsidR="00FF636F" w:rsidRDefault="00FF636F"/>
    <w:p w14:paraId="475556C0" w14:textId="77777777" w:rsidR="00FF636F" w:rsidRDefault="00FF636F"/>
    <w:p w14:paraId="56181BF9" w14:textId="77777777" w:rsidR="00FF636F" w:rsidRDefault="00FF636F"/>
    <w:p w14:paraId="7721F905" w14:textId="77777777" w:rsidR="00FF636F" w:rsidRDefault="00FF636F"/>
    <w:p w14:paraId="6066C30B" w14:textId="77777777" w:rsidR="00FF636F" w:rsidRDefault="00FF636F"/>
    <w:p w14:paraId="15935BA2" w14:textId="77777777" w:rsidR="00FF636F" w:rsidRDefault="00FF636F"/>
    <w:p w14:paraId="7074A8C4" w14:textId="41A3E87E" w:rsidR="007F564F" w:rsidRPr="007F564F" w:rsidRDefault="007F564F" w:rsidP="007F564F">
      <w:pPr>
        <w:widowControl/>
        <w:spacing w:before="100" w:beforeAutospacing="1"/>
        <w:jc w:val="center"/>
        <w:rPr>
          <w:rFonts w:ascii="Times New Roman" w:eastAsia="宋体" w:hAnsi="Times New Roman" w:cs="Times New Roman"/>
          <w:kern w:val="0"/>
          <w:szCs w:val="21"/>
        </w:rPr>
      </w:pPr>
      <w:r w:rsidRPr="007F564F">
        <w:rPr>
          <w:rFonts w:ascii="Times New Roman" w:eastAsia="宋体" w:hAnsi="Times New Roman" w:cs="Times New Roman"/>
          <w:szCs w:val="21"/>
        </w:rPr>
        <w:lastRenderedPageBreak/>
        <w:t>Supplementary</w:t>
      </w:r>
      <w:r w:rsidRPr="007F564F">
        <w:rPr>
          <w:rFonts w:ascii="Times New Roman" w:eastAsia="宋体" w:hAnsi="Times New Roman" w:cs="Times New Roman"/>
          <w:kern w:val="0"/>
          <w:szCs w:val="21"/>
        </w:rPr>
        <w:t xml:space="preserve"> T</w:t>
      </w:r>
      <w:r w:rsidRPr="007F564F">
        <w:rPr>
          <w:rFonts w:ascii="Times New Roman" w:eastAsia="宋体" w:hAnsi="Times New Roman" w:cs="Times New Roman"/>
          <w:kern w:val="0"/>
          <w:szCs w:val="21"/>
        </w:rPr>
        <w:t xml:space="preserve">able </w:t>
      </w:r>
      <w:r>
        <w:rPr>
          <w:rFonts w:ascii="Times New Roman" w:eastAsia="宋体" w:hAnsi="Times New Roman" w:cs="Times New Roman" w:hint="eastAsia"/>
          <w:kern w:val="0"/>
          <w:szCs w:val="21"/>
        </w:rPr>
        <w:t>1</w:t>
      </w:r>
      <w:r w:rsidRPr="007F564F">
        <w:rPr>
          <w:rFonts w:ascii="Times New Roman" w:eastAsia="宋体" w:hAnsi="Times New Roman" w:cs="Times New Roman"/>
          <w:kern w:val="0"/>
          <w:szCs w:val="21"/>
        </w:rPr>
        <w:t>.​ Sensitivity of CMSY estimates to alternative prior assumptions.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75"/>
        <w:gridCol w:w="1626"/>
        <w:gridCol w:w="1917"/>
        <w:gridCol w:w="993"/>
        <w:gridCol w:w="850"/>
        <w:gridCol w:w="1277"/>
      </w:tblGrid>
      <w:tr w:rsidR="007F564F" w:rsidRPr="007F564F" w14:paraId="355B7313" w14:textId="77777777" w:rsidTr="007F564F">
        <w:trPr>
          <w:tblHeader/>
          <w:tblCellSpacing w:w="15" w:type="dxa"/>
          <w:jc w:val="center"/>
        </w:trPr>
        <w:tc>
          <w:tcPr>
            <w:tcW w:w="730" w:type="dxa"/>
            <w:tcBorders>
              <w:top w:val="single" w:sz="4" w:space="0" w:color="auto"/>
              <w:bottom w:val="single" w:sz="4" w:space="0" w:color="auto"/>
            </w:tcBorders>
            <w:vAlign w:val="center"/>
            <w:hideMark/>
          </w:tcPr>
          <w:p w14:paraId="467B52CD"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Scenario</w:t>
            </w:r>
          </w:p>
        </w:tc>
        <w:tc>
          <w:tcPr>
            <w:tcW w:w="1596" w:type="dxa"/>
            <w:tcBorders>
              <w:top w:val="single" w:sz="4" w:space="0" w:color="auto"/>
              <w:bottom w:val="single" w:sz="4" w:space="0" w:color="auto"/>
            </w:tcBorders>
            <w:vAlign w:val="center"/>
            <w:hideMark/>
          </w:tcPr>
          <w:p w14:paraId="04245606"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i/>
                <w:iCs/>
                <w:kern w:val="0"/>
                <w:sz w:val="20"/>
                <w:szCs w:val="20"/>
              </w:rPr>
              <w:t>r</w:t>
            </w:r>
            <w:r w:rsidRPr="007F564F">
              <w:rPr>
                <w:rFonts w:ascii="Times New Roman" w:eastAsia="宋体" w:hAnsi="Times New Roman" w:cs="Times New Roman"/>
                <w:kern w:val="0"/>
                <w:sz w:val="20"/>
                <w:szCs w:val="20"/>
              </w:rPr>
              <w:t xml:space="preserve"> prior</w:t>
            </w:r>
          </w:p>
        </w:tc>
        <w:tc>
          <w:tcPr>
            <w:tcW w:w="1887" w:type="dxa"/>
            <w:tcBorders>
              <w:top w:val="single" w:sz="4" w:space="0" w:color="auto"/>
              <w:bottom w:val="single" w:sz="4" w:space="0" w:color="auto"/>
            </w:tcBorders>
            <w:vAlign w:val="center"/>
            <w:hideMark/>
          </w:tcPr>
          <w:p w14:paraId="0104C59A" w14:textId="6FA45229"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i/>
                <w:iCs/>
                <w:kern w:val="0"/>
                <w:sz w:val="20"/>
                <w:szCs w:val="20"/>
              </w:rPr>
              <w:t>B</w:t>
            </w:r>
            <w:r w:rsidRPr="007F564F">
              <w:rPr>
                <w:rFonts w:ascii="Times New Roman" w:eastAsia="宋体" w:hAnsi="Times New Roman" w:cs="Times New Roman"/>
                <w:kern w:val="0"/>
                <w:sz w:val="20"/>
                <w:szCs w:val="20"/>
                <w:vertAlign w:val="subscript"/>
              </w:rPr>
              <w:t>end</w:t>
            </w:r>
            <w:r w:rsidRPr="007F564F">
              <w:rPr>
                <w:rFonts w:ascii="Times New Roman" w:eastAsia="宋体" w:hAnsi="Times New Roman" w:cs="Times New Roman"/>
                <w:kern w:val="0"/>
                <w:sz w:val="20"/>
                <w:szCs w:val="20"/>
              </w:rPr>
              <w:t>/</w:t>
            </w:r>
            <w:r w:rsidRPr="007F564F">
              <w:rPr>
                <w:rFonts w:ascii="Times New Roman" w:eastAsia="宋体" w:hAnsi="Times New Roman" w:cs="Times New Roman"/>
                <w:i/>
                <w:iCs/>
                <w:kern w:val="0"/>
                <w:sz w:val="20"/>
                <w:szCs w:val="20"/>
              </w:rPr>
              <w:t>k</w:t>
            </w:r>
            <w:r w:rsidRPr="007F564F">
              <w:rPr>
                <w:rFonts w:ascii="Times New Roman" w:eastAsia="宋体" w:hAnsi="Times New Roman" w:cs="Times New Roman"/>
                <w:kern w:val="0"/>
                <w:sz w:val="20"/>
                <w:szCs w:val="20"/>
              </w:rPr>
              <w:t xml:space="preserve"> prior</w:t>
            </w:r>
          </w:p>
        </w:tc>
        <w:tc>
          <w:tcPr>
            <w:tcW w:w="963" w:type="dxa"/>
            <w:tcBorders>
              <w:top w:val="single" w:sz="4" w:space="0" w:color="auto"/>
              <w:bottom w:val="single" w:sz="4" w:space="0" w:color="auto"/>
            </w:tcBorders>
            <w:vAlign w:val="center"/>
            <w:hideMark/>
          </w:tcPr>
          <w:p w14:paraId="2F1D58DF" w14:textId="2433352D"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i/>
                <w:iCs/>
                <w:kern w:val="0"/>
                <w:sz w:val="20"/>
                <w:szCs w:val="20"/>
              </w:rPr>
              <w:t>B/</w:t>
            </w:r>
            <w:proofErr w:type="spellStart"/>
            <w:r w:rsidRPr="007F564F">
              <w:rPr>
                <w:rFonts w:ascii="Times New Roman" w:eastAsia="宋体" w:hAnsi="Times New Roman" w:cs="Times New Roman"/>
                <w:i/>
                <w:iCs/>
                <w:kern w:val="0"/>
                <w:sz w:val="20"/>
                <w:szCs w:val="20"/>
              </w:rPr>
              <w:t>B</w:t>
            </w:r>
            <w:r w:rsidRPr="007F564F">
              <w:rPr>
                <w:rFonts w:ascii="Times New Roman" w:eastAsia="宋体" w:hAnsi="Times New Roman" w:cs="Times New Roman"/>
                <w:kern w:val="0"/>
                <w:sz w:val="20"/>
                <w:szCs w:val="20"/>
                <w:vertAlign w:val="subscript"/>
              </w:rPr>
              <w:t>msy</w:t>
            </w:r>
            <w:proofErr w:type="spellEnd"/>
          </w:p>
        </w:tc>
        <w:tc>
          <w:tcPr>
            <w:tcW w:w="820" w:type="dxa"/>
            <w:tcBorders>
              <w:top w:val="single" w:sz="4" w:space="0" w:color="auto"/>
              <w:bottom w:val="single" w:sz="4" w:space="0" w:color="auto"/>
            </w:tcBorders>
            <w:vAlign w:val="center"/>
            <w:hideMark/>
          </w:tcPr>
          <w:p w14:paraId="13E73822" w14:textId="6004FFD1"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i/>
                <w:iCs/>
                <w:kern w:val="0"/>
                <w:sz w:val="20"/>
                <w:szCs w:val="20"/>
              </w:rPr>
              <w:t>F/</w:t>
            </w:r>
            <w:proofErr w:type="spellStart"/>
            <w:r w:rsidRPr="007F564F">
              <w:rPr>
                <w:rFonts w:ascii="Times New Roman" w:eastAsia="宋体" w:hAnsi="Times New Roman" w:cs="Times New Roman"/>
                <w:i/>
                <w:iCs/>
                <w:kern w:val="0"/>
                <w:sz w:val="20"/>
                <w:szCs w:val="20"/>
              </w:rPr>
              <w:t>F</w:t>
            </w:r>
            <w:r w:rsidRPr="007F564F">
              <w:rPr>
                <w:rFonts w:ascii="Times New Roman" w:eastAsia="宋体" w:hAnsi="Times New Roman" w:cs="Times New Roman"/>
                <w:kern w:val="0"/>
                <w:sz w:val="20"/>
                <w:szCs w:val="20"/>
                <w:vertAlign w:val="subscript"/>
              </w:rPr>
              <w:t>msy</w:t>
            </w:r>
            <w:proofErr w:type="spellEnd"/>
          </w:p>
        </w:tc>
        <w:tc>
          <w:tcPr>
            <w:tcW w:w="1232" w:type="dxa"/>
            <w:tcBorders>
              <w:top w:val="single" w:sz="4" w:space="0" w:color="auto"/>
              <w:bottom w:val="single" w:sz="4" w:space="0" w:color="auto"/>
            </w:tcBorders>
            <w:vAlign w:val="center"/>
            <w:hideMark/>
          </w:tcPr>
          <w:p w14:paraId="28613C85" w14:textId="441A319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i/>
                <w:iCs/>
                <w:kern w:val="0"/>
                <w:sz w:val="20"/>
                <w:szCs w:val="20"/>
              </w:rPr>
              <w:t>MSY</w:t>
            </w:r>
            <w:r w:rsidRPr="007F564F">
              <w:rPr>
                <w:rFonts w:ascii="Times New Roman" w:eastAsia="宋体" w:hAnsi="Times New Roman" w:cs="Times New Roman"/>
                <w:kern w:val="0"/>
                <w:sz w:val="20"/>
                <w:szCs w:val="20"/>
              </w:rPr>
              <w:t xml:space="preserve"> (10³ t)</w:t>
            </w:r>
          </w:p>
        </w:tc>
      </w:tr>
      <w:tr w:rsidR="007F564F" w:rsidRPr="007F564F" w14:paraId="78DEB534" w14:textId="77777777" w:rsidTr="007F564F">
        <w:trPr>
          <w:tblCellSpacing w:w="15" w:type="dxa"/>
          <w:jc w:val="center"/>
        </w:trPr>
        <w:tc>
          <w:tcPr>
            <w:tcW w:w="730" w:type="dxa"/>
            <w:vAlign w:val="center"/>
            <w:hideMark/>
          </w:tcPr>
          <w:p w14:paraId="105A7D4E"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Baseline</w:t>
            </w:r>
          </w:p>
        </w:tc>
        <w:tc>
          <w:tcPr>
            <w:tcW w:w="1596" w:type="dxa"/>
            <w:vAlign w:val="center"/>
            <w:hideMark/>
          </w:tcPr>
          <w:p w14:paraId="7A85C98D"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0.24–0.54</w:t>
            </w:r>
          </w:p>
        </w:tc>
        <w:tc>
          <w:tcPr>
            <w:tcW w:w="1887" w:type="dxa"/>
            <w:vAlign w:val="center"/>
            <w:hideMark/>
          </w:tcPr>
          <w:p w14:paraId="79920EDB"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Medium (0.2–0.6)</w:t>
            </w:r>
          </w:p>
        </w:tc>
        <w:tc>
          <w:tcPr>
            <w:tcW w:w="963" w:type="dxa"/>
            <w:vAlign w:val="center"/>
            <w:hideMark/>
          </w:tcPr>
          <w:p w14:paraId="7350EE0D" w14:textId="41A65E64"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0.79</w:t>
            </w:r>
          </w:p>
        </w:tc>
        <w:tc>
          <w:tcPr>
            <w:tcW w:w="820" w:type="dxa"/>
            <w:vAlign w:val="center"/>
            <w:hideMark/>
          </w:tcPr>
          <w:p w14:paraId="02C96ABA" w14:textId="6621912E"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1.41</w:t>
            </w:r>
          </w:p>
        </w:tc>
        <w:tc>
          <w:tcPr>
            <w:tcW w:w="1232" w:type="dxa"/>
            <w:vAlign w:val="center"/>
            <w:hideMark/>
          </w:tcPr>
          <w:p w14:paraId="04101ABF" w14:textId="170466C9"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378</w:t>
            </w:r>
          </w:p>
        </w:tc>
      </w:tr>
      <w:tr w:rsidR="007F564F" w:rsidRPr="007F564F" w14:paraId="6ED05DBA" w14:textId="77777777" w:rsidTr="007F564F">
        <w:trPr>
          <w:tblCellSpacing w:w="15" w:type="dxa"/>
          <w:jc w:val="center"/>
        </w:trPr>
        <w:tc>
          <w:tcPr>
            <w:tcW w:w="730" w:type="dxa"/>
            <w:vAlign w:val="center"/>
            <w:hideMark/>
          </w:tcPr>
          <w:p w14:paraId="12DA75FC"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S1</w:t>
            </w:r>
          </w:p>
        </w:tc>
        <w:tc>
          <w:tcPr>
            <w:tcW w:w="1596" w:type="dxa"/>
            <w:vAlign w:val="center"/>
            <w:hideMark/>
          </w:tcPr>
          <w:p w14:paraId="61ECF0AE"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0.24–0.54</w:t>
            </w:r>
          </w:p>
        </w:tc>
        <w:tc>
          <w:tcPr>
            <w:tcW w:w="1887" w:type="dxa"/>
            <w:vAlign w:val="center"/>
            <w:hideMark/>
          </w:tcPr>
          <w:p w14:paraId="59DA1C86"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Strong (0.01–0.4)</w:t>
            </w:r>
          </w:p>
        </w:tc>
        <w:tc>
          <w:tcPr>
            <w:tcW w:w="963" w:type="dxa"/>
            <w:vAlign w:val="center"/>
            <w:hideMark/>
          </w:tcPr>
          <w:p w14:paraId="1F852E4D" w14:textId="267FEA43"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0.71</w:t>
            </w:r>
          </w:p>
        </w:tc>
        <w:tc>
          <w:tcPr>
            <w:tcW w:w="820" w:type="dxa"/>
            <w:vAlign w:val="center"/>
            <w:hideMark/>
          </w:tcPr>
          <w:p w14:paraId="534E0FD8" w14:textId="0A876841"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1.52</w:t>
            </w:r>
          </w:p>
        </w:tc>
        <w:tc>
          <w:tcPr>
            <w:tcW w:w="1232" w:type="dxa"/>
            <w:vAlign w:val="center"/>
            <w:hideMark/>
          </w:tcPr>
          <w:p w14:paraId="74C2C36F" w14:textId="4B475FE2"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362</w:t>
            </w:r>
          </w:p>
        </w:tc>
      </w:tr>
      <w:tr w:rsidR="007F564F" w:rsidRPr="007F564F" w14:paraId="29B976EB" w14:textId="77777777" w:rsidTr="007F564F">
        <w:trPr>
          <w:tblCellSpacing w:w="15" w:type="dxa"/>
          <w:jc w:val="center"/>
        </w:trPr>
        <w:tc>
          <w:tcPr>
            <w:tcW w:w="730" w:type="dxa"/>
            <w:vAlign w:val="center"/>
            <w:hideMark/>
          </w:tcPr>
          <w:p w14:paraId="4AA891B2"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S2</w:t>
            </w:r>
          </w:p>
        </w:tc>
        <w:tc>
          <w:tcPr>
            <w:tcW w:w="1596" w:type="dxa"/>
            <w:vAlign w:val="center"/>
            <w:hideMark/>
          </w:tcPr>
          <w:p w14:paraId="3FEA2D82"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0.24–0.54</w:t>
            </w:r>
          </w:p>
        </w:tc>
        <w:tc>
          <w:tcPr>
            <w:tcW w:w="1887" w:type="dxa"/>
            <w:vAlign w:val="center"/>
            <w:hideMark/>
          </w:tcPr>
          <w:p w14:paraId="15E0B7E2"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Low (0.4–0.8)</w:t>
            </w:r>
          </w:p>
        </w:tc>
        <w:tc>
          <w:tcPr>
            <w:tcW w:w="963" w:type="dxa"/>
            <w:vAlign w:val="center"/>
            <w:hideMark/>
          </w:tcPr>
          <w:p w14:paraId="68FB22E7" w14:textId="14D56DC5"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0.86</w:t>
            </w:r>
          </w:p>
        </w:tc>
        <w:tc>
          <w:tcPr>
            <w:tcW w:w="820" w:type="dxa"/>
            <w:vAlign w:val="center"/>
            <w:hideMark/>
          </w:tcPr>
          <w:p w14:paraId="0576F4E7" w14:textId="1D605EA6"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1.28</w:t>
            </w:r>
          </w:p>
        </w:tc>
        <w:tc>
          <w:tcPr>
            <w:tcW w:w="1232" w:type="dxa"/>
            <w:vAlign w:val="center"/>
            <w:hideMark/>
          </w:tcPr>
          <w:p w14:paraId="3F9DF47F" w14:textId="058D77AD"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395</w:t>
            </w:r>
          </w:p>
        </w:tc>
      </w:tr>
      <w:tr w:rsidR="007F564F" w:rsidRPr="007F564F" w14:paraId="1E318B5F" w14:textId="77777777" w:rsidTr="007F564F">
        <w:trPr>
          <w:tblCellSpacing w:w="15" w:type="dxa"/>
          <w:jc w:val="center"/>
        </w:trPr>
        <w:tc>
          <w:tcPr>
            <w:tcW w:w="730" w:type="dxa"/>
            <w:vAlign w:val="center"/>
            <w:hideMark/>
          </w:tcPr>
          <w:p w14:paraId="4B13D37C"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S3</w:t>
            </w:r>
          </w:p>
        </w:tc>
        <w:tc>
          <w:tcPr>
            <w:tcW w:w="1596" w:type="dxa"/>
            <w:vAlign w:val="center"/>
            <w:hideMark/>
          </w:tcPr>
          <w:p w14:paraId="52A52C24"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0.30–0.60</w:t>
            </w:r>
          </w:p>
        </w:tc>
        <w:tc>
          <w:tcPr>
            <w:tcW w:w="1887" w:type="dxa"/>
            <w:vAlign w:val="center"/>
            <w:hideMark/>
          </w:tcPr>
          <w:p w14:paraId="259B30BB"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Medium (0.2–0.6)</w:t>
            </w:r>
          </w:p>
        </w:tc>
        <w:tc>
          <w:tcPr>
            <w:tcW w:w="963" w:type="dxa"/>
            <w:vAlign w:val="center"/>
            <w:hideMark/>
          </w:tcPr>
          <w:p w14:paraId="4DA92CA1" w14:textId="7FFD699C"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0.82</w:t>
            </w:r>
          </w:p>
        </w:tc>
        <w:tc>
          <w:tcPr>
            <w:tcW w:w="820" w:type="dxa"/>
            <w:vAlign w:val="center"/>
            <w:hideMark/>
          </w:tcPr>
          <w:p w14:paraId="6E220D41" w14:textId="64203A69"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1.35</w:t>
            </w:r>
          </w:p>
        </w:tc>
        <w:tc>
          <w:tcPr>
            <w:tcW w:w="1232" w:type="dxa"/>
            <w:vAlign w:val="center"/>
            <w:hideMark/>
          </w:tcPr>
          <w:p w14:paraId="2B635E9E" w14:textId="33DECDE4"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401</w:t>
            </w:r>
          </w:p>
        </w:tc>
      </w:tr>
      <w:tr w:rsidR="007F564F" w:rsidRPr="007F564F" w14:paraId="0E390CBE" w14:textId="77777777" w:rsidTr="007F564F">
        <w:trPr>
          <w:tblCellSpacing w:w="15" w:type="dxa"/>
          <w:jc w:val="center"/>
        </w:trPr>
        <w:tc>
          <w:tcPr>
            <w:tcW w:w="730" w:type="dxa"/>
            <w:tcBorders>
              <w:bottom w:val="single" w:sz="4" w:space="0" w:color="auto"/>
            </w:tcBorders>
            <w:vAlign w:val="center"/>
            <w:hideMark/>
          </w:tcPr>
          <w:p w14:paraId="6DBC8949"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S4</w:t>
            </w:r>
          </w:p>
        </w:tc>
        <w:tc>
          <w:tcPr>
            <w:tcW w:w="1596" w:type="dxa"/>
            <w:tcBorders>
              <w:bottom w:val="single" w:sz="4" w:space="0" w:color="auto"/>
            </w:tcBorders>
            <w:vAlign w:val="center"/>
            <w:hideMark/>
          </w:tcPr>
          <w:p w14:paraId="74EBA430"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0.15–0.40</w:t>
            </w:r>
          </w:p>
        </w:tc>
        <w:tc>
          <w:tcPr>
            <w:tcW w:w="1887" w:type="dxa"/>
            <w:tcBorders>
              <w:bottom w:val="single" w:sz="4" w:space="0" w:color="auto"/>
            </w:tcBorders>
            <w:vAlign w:val="center"/>
            <w:hideMark/>
          </w:tcPr>
          <w:p w14:paraId="0F06AA38" w14:textId="77777777"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Medium (0.2–0.6)</w:t>
            </w:r>
          </w:p>
        </w:tc>
        <w:tc>
          <w:tcPr>
            <w:tcW w:w="963" w:type="dxa"/>
            <w:tcBorders>
              <w:bottom w:val="single" w:sz="4" w:space="0" w:color="auto"/>
            </w:tcBorders>
            <w:vAlign w:val="center"/>
            <w:hideMark/>
          </w:tcPr>
          <w:p w14:paraId="0DBCE5A9" w14:textId="37C9862D"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0.75</w:t>
            </w:r>
          </w:p>
        </w:tc>
        <w:tc>
          <w:tcPr>
            <w:tcW w:w="820" w:type="dxa"/>
            <w:tcBorders>
              <w:bottom w:val="single" w:sz="4" w:space="0" w:color="auto"/>
            </w:tcBorders>
            <w:vAlign w:val="center"/>
            <w:hideMark/>
          </w:tcPr>
          <w:p w14:paraId="22C34A88" w14:textId="66080436"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1.48</w:t>
            </w:r>
          </w:p>
        </w:tc>
        <w:tc>
          <w:tcPr>
            <w:tcW w:w="1232" w:type="dxa"/>
            <w:tcBorders>
              <w:bottom w:val="single" w:sz="4" w:space="0" w:color="auto"/>
            </w:tcBorders>
            <w:vAlign w:val="center"/>
            <w:hideMark/>
          </w:tcPr>
          <w:p w14:paraId="390EF77B" w14:textId="1193C19C" w:rsidR="007F564F" w:rsidRPr="007F564F" w:rsidRDefault="007F564F" w:rsidP="007F564F">
            <w:pPr>
              <w:widowControl/>
              <w:spacing w:before="100" w:beforeAutospacing="1" w:after="100" w:afterAutospacing="1"/>
              <w:jc w:val="center"/>
              <w:rPr>
                <w:rFonts w:ascii="Times New Roman" w:eastAsia="宋体" w:hAnsi="Times New Roman" w:cs="Times New Roman"/>
                <w:kern w:val="0"/>
                <w:sz w:val="20"/>
                <w:szCs w:val="20"/>
              </w:rPr>
            </w:pPr>
            <w:r w:rsidRPr="007F564F">
              <w:rPr>
                <w:rFonts w:ascii="Times New Roman" w:eastAsia="宋体" w:hAnsi="Times New Roman" w:cs="Times New Roman"/>
                <w:kern w:val="0"/>
                <w:sz w:val="20"/>
                <w:szCs w:val="20"/>
              </w:rPr>
              <w:t>352</w:t>
            </w:r>
          </w:p>
        </w:tc>
      </w:tr>
    </w:tbl>
    <w:p w14:paraId="14467009" w14:textId="77777777" w:rsidR="00FF636F" w:rsidRPr="007F564F" w:rsidRDefault="00FF636F">
      <w:pPr>
        <w:rPr>
          <w:rFonts w:ascii="Times New Roman" w:hAnsi="Times New Roman" w:cs="Times New Roman"/>
          <w:szCs w:val="21"/>
        </w:rPr>
      </w:pPr>
    </w:p>
    <w:sectPr w:rsidR="00FF636F" w:rsidRPr="007F56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0002"/>
    <w:rsid w:val="007F564F"/>
    <w:rsid w:val="00976EFA"/>
    <w:rsid w:val="00CB0002"/>
    <w:rsid w:val="00FF636F"/>
    <w:rsid w:val="414A2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73A51"/>
  <w15:docId w15:val="{A46F9DBA-6F87-4AAE-AA99-5648BB36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564F"/>
    <w:pPr>
      <w:widowControl/>
      <w:spacing w:before="100" w:beforeAutospacing="1" w:after="100" w:afterAutospacing="1"/>
      <w:jc w:val="left"/>
    </w:pPr>
    <w:rPr>
      <w:rFonts w:ascii="宋体" w:eastAsia="宋体" w:hAnsi="宋体" w:cs="宋体"/>
      <w:kern w:val="0"/>
      <w:sz w:val="24"/>
    </w:rPr>
  </w:style>
  <w:style w:type="character" w:styleId="a4">
    <w:name w:val="Strong"/>
    <w:basedOn w:val="a0"/>
    <w:uiPriority w:val="22"/>
    <w:qFormat/>
    <w:rsid w:val="007F56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linlong wang</cp:lastModifiedBy>
  <cp:revision>2</cp:revision>
  <dcterms:created xsi:type="dcterms:W3CDTF">2026-02-02T02:30:00Z</dcterms:created>
  <dcterms:modified xsi:type="dcterms:W3CDTF">2026-07-14T07:34:00Z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eyJoZGlkIjoiMmZlMzRlMzlhOTkzMGQ4NmQ2ZmM0MDM0MjQzNjM4MmQiLCJ1c2VySWQiOiIzMjI2NTQ4ODIifQ==</vt:lpwstr>
  </property>
  <property fmtid="{D5CDD505-2E9C-101B-9397-08002B2CF9AE}" pid="4" name="ICV">
    <vt:lpwstr>C8C6684AA2D44295AFFC38A8EE4DFD03_12</vt:lpwstr>
  </property>
</Properties>
</file>