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7AB2F" w14:textId="77777777" w:rsidR="0025193D" w:rsidRPr="0025193D" w:rsidRDefault="0025193D" w:rsidP="0025193D">
      <w:pPr>
        <w:tabs>
          <w:tab w:val="left" w:pos="2511"/>
        </w:tabs>
        <w:jc w:val="both"/>
        <w:rPr>
          <w:b/>
          <w:bCs/>
        </w:rPr>
      </w:pPr>
      <w:r w:rsidRPr="0025193D">
        <w:rPr>
          <w:b/>
          <w:bCs/>
        </w:rPr>
        <w:t>Supplementary materials</w:t>
      </w:r>
    </w:p>
    <w:p w14:paraId="4A9F149F" w14:textId="77777777" w:rsidR="0025193D" w:rsidRPr="0025193D" w:rsidRDefault="0025193D" w:rsidP="0025193D">
      <w:pPr>
        <w:tabs>
          <w:tab w:val="left" w:pos="2511"/>
        </w:tabs>
        <w:jc w:val="both"/>
        <w:rPr>
          <w:rFonts w:asciiTheme="majorBidi" w:hAnsiTheme="majorBidi" w:cstheme="majorBidi"/>
          <w:b/>
          <w:bCs/>
        </w:rPr>
      </w:pPr>
    </w:p>
    <w:p w14:paraId="53E6FCD7" w14:textId="77777777" w:rsidR="0025193D" w:rsidRPr="0025193D" w:rsidRDefault="0025193D" w:rsidP="0025193D">
      <w:pPr>
        <w:pStyle w:val="ListParagraph"/>
        <w:numPr>
          <w:ilvl w:val="0"/>
          <w:numId w:val="1"/>
        </w:numPr>
        <w:tabs>
          <w:tab w:val="left" w:pos="2511"/>
        </w:tabs>
        <w:jc w:val="both"/>
        <w:rPr>
          <w:rFonts w:asciiTheme="majorBidi" w:hAnsiTheme="majorBidi" w:cstheme="majorBidi"/>
          <w:b/>
          <w:bCs/>
        </w:rPr>
      </w:pPr>
      <w:r w:rsidRPr="0025193D">
        <w:rPr>
          <w:rFonts w:asciiTheme="majorBidi" w:hAnsiTheme="majorBidi" w:cstheme="majorBidi"/>
          <w:b/>
          <w:bCs/>
        </w:rPr>
        <w:t>Electronic supplementary material</w:t>
      </w:r>
    </w:p>
    <w:p w14:paraId="5F7E9F37" w14:textId="77777777" w:rsidR="0025193D" w:rsidRPr="0025193D" w:rsidRDefault="0025193D" w:rsidP="0025193D">
      <w:pPr>
        <w:tabs>
          <w:tab w:val="left" w:pos="2511"/>
        </w:tabs>
        <w:jc w:val="both"/>
        <w:rPr>
          <w:rFonts w:asciiTheme="majorBidi" w:hAnsiTheme="majorBidi" w:cstheme="majorBidi"/>
          <w:lang w:bidi="fa-IR"/>
        </w:rPr>
      </w:pPr>
      <w:r w:rsidRPr="0025193D">
        <w:rPr>
          <w:rFonts w:asciiTheme="majorBidi" w:hAnsiTheme="majorBidi" w:cstheme="majorBidi"/>
          <w:lang w:bidi="fa-IR"/>
        </w:rPr>
        <w:t xml:space="preserve">To determine the effect of features that were removed by the 256-token truncation limit, we ran a preliminary </w:t>
      </w:r>
      <w:proofErr w:type="spellStart"/>
      <w:r w:rsidRPr="0025193D">
        <w:rPr>
          <w:rFonts w:asciiTheme="majorBidi" w:hAnsiTheme="majorBidi" w:cstheme="majorBidi"/>
          <w:lang w:bidi="fa-IR"/>
        </w:rPr>
        <w:t>KernelSHAP</w:t>
      </w:r>
      <w:proofErr w:type="spellEnd"/>
      <w:r w:rsidRPr="0025193D">
        <w:rPr>
          <w:rFonts w:asciiTheme="majorBidi" w:hAnsiTheme="majorBidi" w:cstheme="majorBidi"/>
          <w:lang w:bidi="fa-IR"/>
        </w:rPr>
        <w:t xml:space="preserve"> on a random stratified subset of 500 validation data samples that we took from the 5-folds of cross-validations for </w:t>
      </w:r>
      <w:proofErr w:type="spellStart"/>
      <w:r w:rsidRPr="0025193D">
        <w:rPr>
          <w:rFonts w:asciiTheme="majorBidi" w:hAnsiTheme="majorBidi" w:cstheme="majorBidi"/>
          <w:lang w:bidi="fa-IR"/>
        </w:rPr>
        <w:t>CaseHOLD</w:t>
      </w:r>
      <w:proofErr w:type="spellEnd"/>
      <w:r w:rsidRPr="0025193D">
        <w:rPr>
          <w:rFonts w:asciiTheme="majorBidi" w:hAnsiTheme="majorBidi" w:cstheme="majorBidi"/>
          <w:lang w:bidi="fa-IR"/>
        </w:rPr>
        <w:t>.</w:t>
      </w:r>
    </w:p>
    <w:p w14:paraId="17AEFC64" w14:textId="77777777" w:rsidR="0025193D" w:rsidRPr="0025193D" w:rsidRDefault="0025193D" w:rsidP="0025193D">
      <w:pPr>
        <w:tabs>
          <w:tab w:val="left" w:pos="2511"/>
        </w:tabs>
        <w:jc w:val="both"/>
        <w:rPr>
          <w:rFonts w:asciiTheme="majorBidi" w:hAnsiTheme="majorBidi" w:cstheme="majorBidi"/>
          <w:lang w:bidi="fa-IR"/>
        </w:rPr>
      </w:pPr>
      <w:r w:rsidRPr="0025193D">
        <w:rPr>
          <w:rFonts w:asciiTheme="majorBidi" w:hAnsiTheme="majorBidi" w:cstheme="majorBidi"/>
          <w:lang w:bidi="fa-IR"/>
        </w:rPr>
        <w:t>In each instance, SHAP values were computed for all tokens in the input to the model at (original, un-truncated) length. For any tokens beyond length position 256, we called them 'excluded peripheral tokens'. They contributed a mean absolute SHAP value of 0.018 ± 0.003. In contrast, the set of expert-labelled n-gams that was (correctly) interpreted as legally determinative by 3 legal experts contributes a mean absolute SHAP value of 0.41 ± 0.05.</w:t>
      </w:r>
    </w:p>
    <w:p w14:paraId="2F154206" w14:textId="77777777" w:rsidR="0025193D" w:rsidRPr="0025193D" w:rsidRDefault="0025193D" w:rsidP="0025193D">
      <w:pPr>
        <w:tabs>
          <w:tab w:val="left" w:pos="2511"/>
        </w:tabs>
        <w:jc w:val="both"/>
        <w:rPr>
          <w:rFonts w:asciiTheme="majorBidi" w:hAnsiTheme="majorBidi" w:cstheme="majorBidi"/>
          <w:lang w:bidi="fa-IR"/>
        </w:rPr>
      </w:pPr>
      <w:r w:rsidRPr="0025193D">
        <w:rPr>
          <w:rFonts w:asciiTheme="majorBidi" w:hAnsiTheme="majorBidi" w:cstheme="majorBidi"/>
          <w:lang w:bidi="fa-IR"/>
        </w:rPr>
        <w:t>This separation serves to validate the truncation scheme at 256 tokens where almost the entire informative signal remains and only tiny, procedural contents are filtered away. The full distribution of SHAP magnitudes between excluded and non-excluded tokens can be achieved by requesting from the corresponding authors.</w:t>
      </w:r>
    </w:p>
    <w:p w14:paraId="5D92B4C6" w14:textId="77777777" w:rsidR="0025193D" w:rsidRPr="0025193D" w:rsidRDefault="0025193D" w:rsidP="0025193D">
      <w:pPr>
        <w:tabs>
          <w:tab w:val="left" w:pos="2511"/>
        </w:tabs>
        <w:jc w:val="both"/>
        <w:rPr>
          <w:rFonts w:asciiTheme="majorBidi" w:hAnsiTheme="majorBidi" w:cstheme="majorBidi"/>
          <w:lang w:bidi="fa-IR"/>
        </w:rPr>
      </w:pPr>
    </w:p>
    <w:p w14:paraId="602DEC8A" w14:textId="77777777" w:rsidR="0025193D" w:rsidRPr="0025193D" w:rsidRDefault="0025193D" w:rsidP="0025193D">
      <w:pPr>
        <w:tabs>
          <w:tab w:val="left" w:pos="2511"/>
        </w:tabs>
        <w:jc w:val="center"/>
        <w:rPr>
          <w:rFonts w:asciiTheme="majorBidi" w:hAnsiTheme="majorBidi" w:cstheme="majorBidi"/>
          <w:lang w:bidi="fa-IR"/>
        </w:rPr>
      </w:pPr>
      <w:r w:rsidRPr="0025193D">
        <w:rPr>
          <w:rFonts w:asciiTheme="majorBidi" w:hAnsiTheme="majorBidi" w:cstheme="majorBidi"/>
          <w:lang w:bidi="fa-IR"/>
        </w:rPr>
        <w:t xml:space="preserve">Table S1. Complete hyperparameter configuration of the base </w:t>
      </w:r>
      <w:proofErr w:type="spellStart"/>
      <w:r w:rsidRPr="0025193D">
        <w:rPr>
          <w:rFonts w:asciiTheme="majorBidi" w:hAnsiTheme="majorBidi" w:cstheme="majorBidi"/>
          <w:lang w:bidi="fa-IR"/>
        </w:rPr>
        <w:t>TextCNN</w:t>
      </w:r>
      <w:proofErr w:type="spellEnd"/>
      <w:r w:rsidRPr="0025193D">
        <w:rPr>
          <w:rFonts w:asciiTheme="majorBidi" w:hAnsiTheme="majorBidi" w:cstheme="majorBidi"/>
          <w:lang w:bidi="fa-IR"/>
        </w:rPr>
        <w:t xml:space="preserve"> architecture (adapted from </w:t>
      </w:r>
      <w:proofErr w:type="spellStart"/>
      <w:r w:rsidRPr="0025193D">
        <w:rPr>
          <w:rFonts w:asciiTheme="majorBidi" w:hAnsiTheme="majorBidi" w:cstheme="majorBidi"/>
          <w:lang w:bidi="fa-IR"/>
        </w:rPr>
        <w:t>kim</w:t>
      </w:r>
      <w:proofErr w:type="spellEnd"/>
      <w:r w:rsidRPr="0025193D">
        <w:rPr>
          <w:rFonts w:asciiTheme="majorBidi" w:hAnsiTheme="majorBidi" w:cstheme="majorBidi"/>
          <w:lang w:bidi="fa-IR"/>
        </w:rPr>
        <w:t>, 2014, with legal-domain modifications)</w:t>
      </w:r>
    </w:p>
    <w:tbl>
      <w:tblPr>
        <w:tblStyle w:val="TableGrid"/>
        <w:tblW w:w="7174" w:type="dxa"/>
        <w:tblInd w:w="1075" w:type="dxa"/>
        <w:tblLayout w:type="fixed"/>
        <w:tblLook w:val="04A0" w:firstRow="1" w:lastRow="0" w:firstColumn="1" w:lastColumn="0" w:noHBand="0" w:noVBand="1"/>
      </w:tblPr>
      <w:tblGrid>
        <w:gridCol w:w="2173"/>
        <w:gridCol w:w="1247"/>
        <w:gridCol w:w="3754"/>
      </w:tblGrid>
      <w:tr w:rsidR="0025193D" w:rsidRPr="0025193D" w14:paraId="273D8C42" w14:textId="77777777" w:rsidTr="008023C8">
        <w:tc>
          <w:tcPr>
            <w:tcW w:w="2173" w:type="dxa"/>
            <w:hideMark/>
          </w:tcPr>
          <w:p w14:paraId="5CD85774"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Parameter</w:t>
            </w:r>
          </w:p>
        </w:tc>
        <w:tc>
          <w:tcPr>
            <w:tcW w:w="1247" w:type="dxa"/>
            <w:hideMark/>
          </w:tcPr>
          <w:p w14:paraId="729FD780"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Value</w:t>
            </w:r>
          </w:p>
        </w:tc>
        <w:tc>
          <w:tcPr>
            <w:tcW w:w="3754" w:type="dxa"/>
            <w:hideMark/>
          </w:tcPr>
          <w:p w14:paraId="791B4BF2"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Source / Justification</w:t>
            </w:r>
          </w:p>
        </w:tc>
      </w:tr>
      <w:tr w:rsidR="0025193D" w:rsidRPr="0025193D" w14:paraId="58005F69" w14:textId="77777777" w:rsidTr="008023C8">
        <w:tc>
          <w:tcPr>
            <w:tcW w:w="2173" w:type="dxa"/>
            <w:hideMark/>
          </w:tcPr>
          <w:p w14:paraId="7F3A97DD"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Embedding dimension</w:t>
            </w:r>
          </w:p>
        </w:tc>
        <w:tc>
          <w:tcPr>
            <w:tcW w:w="1247" w:type="dxa"/>
            <w:hideMark/>
          </w:tcPr>
          <w:p w14:paraId="05E0FBF7"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300</w:t>
            </w:r>
          </w:p>
        </w:tc>
        <w:tc>
          <w:tcPr>
            <w:tcW w:w="3754" w:type="dxa"/>
            <w:hideMark/>
          </w:tcPr>
          <w:p w14:paraId="232EDDD1"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Legal-domain Word2Vec (Section 3.1)</w:t>
            </w:r>
          </w:p>
        </w:tc>
      </w:tr>
      <w:tr w:rsidR="0025193D" w:rsidRPr="0025193D" w14:paraId="211EBAA0" w14:textId="77777777" w:rsidTr="008023C8">
        <w:tc>
          <w:tcPr>
            <w:tcW w:w="2173" w:type="dxa"/>
            <w:hideMark/>
          </w:tcPr>
          <w:p w14:paraId="215919BC"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Sequence length (max)</w:t>
            </w:r>
          </w:p>
        </w:tc>
        <w:tc>
          <w:tcPr>
            <w:tcW w:w="1247" w:type="dxa"/>
            <w:hideMark/>
          </w:tcPr>
          <w:p w14:paraId="723D0BEC"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256</w:t>
            </w:r>
          </w:p>
        </w:tc>
        <w:tc>
          <w:tcPr>
            <w:tcW w:w="3754" w:type="dxa"/>
            <w:hideMark/>
          </w:tcPr>
          <w:p w14:paraId="2AFF59A4"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Empirical 98.7 % coverage of determinative content</w:t>
            </w:r>
          </w:p>
        </w:tc>
      </w:tr>
      <w:tr w:rsidR="0025193D" w:rsidRPr="0025193D" w14:paraId="643296AD" w14:textId="77777777" w:rsidTr="008023C8">
        <w:tc>
          <w:tcPr>
            <w:tcW w:w="2173" w:type="dxa"/>
            <w:hideMark/>
          </w:tcPr>
          <w:p w14:paraId="32EA61FE" w14:textId="77777777" w:rsidR="0025193D" w:rsidRPr="0025193D" w:rsidRDefault="0025193D" w:rsidP="008023C8">
            <w:pPr>
              <w:tabs>
                <w:tab w:val="left" w:pos="2511"/>
              </w:tabs>
              <w:ind w:left="64"/>
              <w:jc w:val="center"/>
              <w:rPr>
                <w:rFonts w:asciiTheme="majorBidi" w:hAnsiTheme="majorBidi" w:cstheme="majorBidi"/>
                <w:lang w:bidi="fa-IR"/>
              </w:rPr>
            </w:pPr>
            <w:r w:rsidRPr="0025193D">
              <w:rPr>
                <w:rFonts w:asciiTheme="majorBidi" w:hAnsiTheme="majorBidi" w:cstheme="majorBidi"/>
                <w:lang w:bidi="fa-IR"/>
              </w:rPr>
              <w:t>Kernel sizes</w:t>
            </w:r>
          </w:p>
        </w:tc>
        <w:tc>
          <w:tcPr>
            <w:tcW w:w="1247" w:type="dxa"/>
            <w:hideMark/>
          </w:tcPr>
          <w:p w14:paraId="64BE2D41"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3, 4, 5</w:t>
            </w:r>
          </w:p>
        </w:tc>
        <w:tc>
          <w:tcPr>
            <w:tcW w:w="3754" w:type="dxa"/>
            <w:hideMark/>
          </w:tcPr>
          <w:p w14:paraId="6EDB0A9A"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Restricted to ≤ 7 tokens (jurisprudential constraint)</w:t>
            </w:r>
          </w:p>
        </w:tc>
      </w:tr>
      <w:tr w:rsidR="0025193D" w:rsidRPr="0025193D" w14:paraId="602F46F2" w14:textId="77777777" w:rsidTr="008023C8">
        <w:tc>
          <w:tcPr>
            <w:tcW w:w="2173" w:type="dxa"/>
            <w:hideMark/>
          </w:tcPr>
          <w:p w14:paraId="03CB57DF"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Number of filters per kernel size</w:t>
            </w:r>
          </w:p>
        </w:tc>
        <w:tc>
          <w:tcPr>
            <w:tcW w:w="1247" w:type="dxa"/>
            <w:hideMark/>
          </w:tcPr>
          <w:p w14:paraId="2AF6C481"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128</w:t>
            </w:r>
          </w:p>
        </w:tc>
        <w:tc>
          <w:tcPr>
            <w:tcW w:w="3754" w:type="dxa"/>
            <w:hideMark/>
          </w:tcPr>
          <w:p w14:paraId="57DD4F12"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Sensitivity range 100–160; chosen for capacity vs. overfitting</w:t>
            </w:r>
          </w:p>
        </w:tc>
      </w:tr>
      <w:tr w:rsidR="0025193D" w:rsidRPr="0025193D" w14:paraId="7B7C0C3B" w14:textId="77777777" w:rsidTr="008023C8">
        <w:tc>
          <w:tcPr>
            <w:tcW w:w="2173" w:type="dxa"/>
            <w:hideMark/>
          </w:tcPr>
          <w:p w14:paraId="10C190DA"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Pooling</w:t>
            </w:r>
          </w:p>
        </w:tc>
        <w:tc>
          <w:tcPr>
            <w:tcW w:w="1247" w:type="dxa"/>
            <w:hideMark/>
          </w:tcPr>
          <w:p w14:paraId="6CDEB3FD"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Max-over-time</w:t>
            </w:r>
          </w:p>
        </w:tc>
        <w:tc>
          <w:tcPr>
            <w:tcW w:w="3754" w:type="dxa"/>
            <w:hideMark/>
          </w:tcPr>
          <w:p w14:paraId="36ABE4FA"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Produces sparse, high-magnitude activations suitable for SHAP</w:t>
            </w:r>
          </w:p>
        </w:tc>
      </w:tr>
      <w:tr w:rsidR="0025193D" w:rsidRPr="0025193D" w14:paraId="343BF961" w14:textId="77777777" w:rsidTr="008023C8">
        <w:tc>
          <w:tcPr>
            <w:tcW w:w="2173" w:type="dxa"/>
            <w:hideMark/>
          </w:tcPr>
          <w:p w14:paraId="60EE233A"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Fully-connected hidden units</w:t>
            </w:r>
          </w:p>
        </w:tc>
        <w:tc>
          <w:tcPr>
            <w:tcW w:w="1247" w:type="dxa"/>
            <w:hideMark/>
          </w:tcPr>
          <w:p w14:paraId="2ACA4236"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256</w:t>
            </w:r>
          </w:p>
        </w:tc>
        <w:tc>
          <w:tcPr>
            <w:tcW w:w="3754" w:type="dxa"/>
            <w:hideMark/>
          </w:tcPr>
          <w:p w14:paraId="2C5AD8CD"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 xml:space="preserve">Standard </w:t>
            </w:r>
            <w:proofErr w:type="spellStart"/>
            <w:r w:rsidRPr="0025193D">
              <w:rPr>
                <w:rFonts w:asciiTheme="majorBidi" w:hAnsiTheme="majorBidi" w:cstheme="majorBidi"/>
                <w:lang w:bidi="fa-IR"/>
              </w:rPr>
              <w:t>TextCNN</w:t>
            </w:r>
            <w:proofErr w:type="spellEnd"/>
            <w:r w:rsidRPr="0025193D">
              <w:rPr>
                <w:rFonts w:asciiTheme="majorBidi" w:hAnsiTheme="majorBidi" w:cstheme="majorBidi"/>
                <w:lang w:bidi="fa-IR"/>
              </w:rPr>
              <w:t xml:space="preserve"> design</w:t>
            </w:r>
          </w:p>
        </w:tc>
      </w:tr>
      <w:tr w:rsidR="0025193D" w:rsidRPr="0025193D" w14:paraId="0583A87E" w14:textId="77777777" w:rsidTr="008023C8">
        <w:tc>
          <w:tcPr>
            <w:tcW w:w="2173" w:type="dxa"/>
            <w:hideMark/>
          </w:tcPr>
          <w:p w14:paraId="7BDACDF5"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Dropout rate</w:t>
            </w:r>
          </w:p>
        </w:tc>
        <w:tc>
          <w:tcPr>
            <w:tcW w:w="1247" w:type="dxa"/>
            <w:hideMark/>
          </w:tcPr>
          <w:p w14:paraId="141C3A66"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0.5</w:t>
            </w:r>
          </w:p>
        </w:tc>
        <w:tc>
          <w:tcPr>
            <w:tcW w:w="3754" w:type="dxa"/>
            <w:hideMark/>
          </w:tcPr>
          <w:p w14:paraId="19F9216A"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 xml:space="preserve">Empirically optimal on </w:t>
            </w:r>
            <w:proofErr w:type="spellStart"/>
            <w:r w:rsidRPr="0025193D">
              <w:rPr>
                <w:rFonts w:asciiTheme="majorBidi" w:hAnsiTheme="majorBidi" w:cstheme="majorBidi"/>
                <w:lang w:bidi="fa-IR"/>
              </w:rPr>
              <w:t>CaseHOLD</w:t>
            </w:r>
            <w:proofErr w:type="spellEnd"/>
            <w:r w:rsidRPr="0025193D">
              <w:rPr>
                <w:rFonts w:asciiTheme="majorBidi" w:hAnsiTheme="majorBidi" w:cstheme="majorBidi"/>
                <w:lang w:bidi="fa-IR"/>
              </w:rPr>
              <w:t xml:space="preserve"> (see Figure 9C)</w:t>
            </w:r>
          </w:p>
        </w:tc>
      </w:tr>
      <w:tr w:rsidR="0025193D" w:rsidRPr="0025193D" w14:paraId="7CB42555" w14:textId="77777777" w:rsidTr="008023C8">
        <w:tc>
          <w:tcPr>
            <w:tcW w:w="2173" w:type="dxa"/>
            <w:hideMark/>
          </w:tcPr>
          <w:p w14:paraId="26E39A1B"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lastRenderedPageBreak/>
              <w:t>Embedding fine-tuning learning rate</w:t>
            </w:r>
          </w:p>
        </w:tc>
        <w:tc>
          <w:tcPr>
            <w:tcW w:w="1247" w:type="dxa"/>
            <w:hideMark/>
          </w:tcPr>
          <w:p w14:paraId="049BB75C" w14:textId="77777777" w:rsidR="0025193D" w:rsidRPr="0025193D" w:rsidRDefault="0025193D" w:rsidP="008023C8">
            <w:pPr>
              <w:tabs>
                <w:tab w:val="left" w:pos="2511"/>
              </w:tabs>
              <w:jc w:val="center"/>
              <w:rPr>
                <w:rFonts w:asciiTheme="majorBidi" w:hAnsiTheme="majorBidi" w:cstheme="majorBidi"/>
                <w:lang w:bidi="fa-IR"/>
              </w:rPr>
            </w:pPr>
            <m:oMathPara>
              <m:oMath>
                <m:r>
                  <w:rPr>
                    <w:rFonts w:ascii="Cambria Math" w:hAnsi="Cambria Math" w:cstheme="majorBidi"/>
                    <w:lang w:bidi="fa-IR"/>
                  </w:rPr>
                  <m:t>2×</m:t>
                </m:r>
                <m:sSup>
                  <m:sSupPr>
                    <m:ctrlPr>
                      <w:rPr>
                        <w:rFonts w:ascii="Cambria Math" w:hAnsi="Cambria Math" w:cstheme="majorBidi"/>
                        <w:lang w:bidi="fa-IR"/>
                      </w:rPr>
                    </m:ctrlPr>
                  </m:sSupPr>
                  <m:e>
                    <m:r>
                      <w:rPr>
                        <w:rFonts w:ascii="Cambria Math" w:hAnsi="Cambria Math" w:cstheme="majorBidi"/>
                        <w:lang w:bidi="fa-IR"/>
                      </w:rPr>
                      <m:t>10</m:t>
                    </m:r>
                  </m:e>
                  <m:sup>
                    <m:r>
                      <w:rPr>
                        <w:rFonts w:ascii="Cambria Math" w:hAnsi="Cambria Math" w:cstheme="majorBidi"/>
                        <w:lang w:bidi="fa-IR"/>
                      </w:rPr>
                      <m:t>-4</m:t>
                    </m:r>
                  </m:sup>
                </m:sSup>
              </m:oMath>
            </m:oMathPara>
          </w:p>
        </w:tc>
        <w:tc>
          <w:tcPr>
            <w:tcW w:w="3754" w:type="dxa"/>
            <w:hideMark/>
          </w:tcPr>
          <w:p w14:paraId="64D5E4B7"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One order of magnitude lower than convolutional layers</w:t>
            </w:r>
          </w:p>
        </w:tc>
      </w:tr>
      <w:tr w:rsidR="0025193D" w:rsidRPr="0025193D" w14:paraId="45D6DEC7" w14:textId="77777777" w:rsidTr="008023C8">
        <w:tc>
          <w:tcPr>
            <w:tcW w:w="2173" w:type="dxa"/>
            <w:hideMark/>
          </w:tcPr>
          <w:p w14:paraId="26091A74"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Convolutional / dense learning rate</w:t>
            </w:r>
          </w:p>
        </w:tc>
        <w:tc>
          <w:tcPr>
            <w:tcW w:w="1247" w:type="dxa"/>
            <w:hideMark/>
          </w:tcPr>
          <w:p w14:paraId="46488F42" w14:textId="77777777" w:rsidR="0025193D" w:rsidRPr="0025193D" w:rsidRDefault="0025193D" w:rsidP="008023C8">
            <w:pPr>
              <w:tabs>
                <w:tab w:val="left" w:pos="2511"/>
              </w:tabs>
              <w:jc w:val="center"/>
              <w:rPr>
                <w:rFonts w:asciiTheme="majorBidi" w:hAnsiTheme="majorBidi" w:cstheme="majorBidi"/>
                <w:lang w:bidi="fa-IR"/>
              </w:rPr>
            </w:pPr>
            <m:oMathPara>
              <m:oMath>
                <m:r>
                  <w:rPr>
                    <w:rFonts w:ascii="Cambria Math" w:hAnsi="Cambria Math" w:cstheme="majorBidi"/>
                    <w:lang w:bidi="fa-IR"/>
                  </w:rPr>
                  <m:t>2×</m:t>
                </m:r>
                <m:sSup>
                  <m:sSupPr>
                    <m:ctrlPr>
                      <w:rPr>
                        <w:rFonts w:ascii="Cambria Math" w:hAnsi="Cambria Math" w:cstheme="majorBidi"/>
                        <w:lang w:bidi="fa-IR"/>
                      </w:rPr>
                    </m:ctrlPr>
                  </m:sSupPr>
                  <m:e>
                    <m:r>
                      <w:rPr>
                        <w:rFonts w:ascii="Cambria Math" w:hAnsi="Cambria Math" w:cstheme="majorBidi"/>
                        <w:lang w:bidi="fa-IR"/>
                      </w:rPr>
                      <m:t>10</m:t>
                    </m:r>
                  </m:e>
                  <m:sup>
                    <m:r>
                      <w:rPr>
                        <w:rFonts w:ascii="Cambria Math" w:hAnsi="Cambria Math" w:cstheme="majorBidi"/>
                        <w:lang w:bidi="fa-IR"/>
                      </w:rPr>
                      <m:t>-3</m:t>
                    </m:r>
                  </m:sup>
                </m:sSup>
              </m:oMath>
            </m:oMathPara>
          </w:p>
        </w:tc>
        <w:tc>
          <w:tcPr>
            <w:tcW w:w="3754" w:type="dxa"/>
            <w:hideMark/>
          </w:tcPr>
          <w:p w14:paraId="68ACBCE0"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Adam optimizer</w:t>
            </w:r>
          </w:p>
        </w:tc>
      </w:tr>
      <w:tr w:rsidR="0025193D" w:rsidRPr="0025193D" w14:paraId="5E73366E" w14:textId="77777777" w:rsidTr="008023C8">
        <w:tc>
          <w:tcPr>
            <w:tcW w:w="2173" w:type="dxa"/>
            <w:hideMark/>
          </w:tcPr>
          <w:p w14:paraId="5F2D465E"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Batch size</w:t>
            </w:r>
          </w:p>
        </w:tc>
        <w:tc>
          <w:tcPr>
            <w:tcW w:w="1247" w:type="dxa"/>
            <w:hideMark/>
          </w:tcPr>
          <w:p w14:paraId="66F16853"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64</w:t>
            </w:r>
          </w:p>
        </w:tc>
        <w:tc>
          <w:tcPr>
            <w:tcW w:w="3754" w:type="dxa"/>
            <w:hideMark/>
          </w:tcPr>
          <w:p w14:paraId="563C32BC"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Hardware-constrained (NVIDIA V100)</w:t>
            </w:r>
          </w:p>
        </w:tc>
      </w:tr>
      <w:tr w:rsidR="0025193D" w:rsidRPr="0025193D" w14:paraId="1F635B45" w14:textId="77777777" w:rsidTr="008023C8">
        <w:tc>
          <w:tcPr>
            <w:tcW w:w="2173" w:type="dxa"/>
            <w:hideMark/>
          </w:tcPr>
          <w:p w14:paraId="04FBF587"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Activation (convolution)</w:t>
            </w:r>
          </w:p>
        </w:tc>
        <w:tc>
          <w:tcPr>
            <w:tcW w:w="1247" w:type="dxa"/>
            <w:hideMark/>
          </w:tcPr>
          <w:p w14:paraId="5106EE2B" w14:textId="77777777" w:rsidR="0025193D" w:rsidRPr="0025193D" w:rsidRDefault="0025193D" w:rsidP="008023C8">
            <w:pPr>
              <w:tabs>
                <w:tab w:val="left" w:pos="2511"/>
              </w:tabs>
              <w:jc w:val="center"/>
              <w:rPr>
                <w:rFonts w:asciiTheme="majorBidi" w:hAnsiTheme="majorBidi" w:cstheme="majorBidi"/>
                <w:lang w:bidi="fa-IR"/>
              </w:rPr>
            </w:pPr>
            <w:proofErr w:type="spellStart"/>
            <w:r w:rsidRPr="0025193D">
              <w:rPr>
                <w:rFonts w:asciiTheme="majorBidi" w:hAnsiTheme="majorBidi" w:cstheme="majorBidi"/>
                <w:lang w:bidi="fa-IR"/>
              </w:rPr>
              <w:t>ReLU</w:t>
            </w:r>
            <w:proofErr w:type="spellEnd"/>
          </w:p>
        </w:tc>
        <w:tc>
          <w:tcPr>
            <w:tcW w:w="3754" w:type="dxa"/>
            <w:hideMark/>
          </w:tcPr>
          <w:p w14:paraId="11EBD552"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Standard</w:t>
            </w:r>
          </w:p>
        </w:tc>
      </w:tr>
      <w:tr w:rsidR="0025193D" w:rsidRPr="0025193D" w14:paraId="7CBFF973" w14:textId="77777777" w:rsidTr="008023C8">
        <w:tc>
          <w:tcPr>
            <w:tcW w:w="2173" w:type="dxa"/>
            <w:hideMark/>
          </w:tcPr>
          <w:p w14:paraId="41B12D8C"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Output activation</w:t>
            </w:r>
          </w:p>
        </w:tc>
        <w:tc>
          <w:tcPr>
            <w:tcW w:w="1247" w:type="dxa"/>
            <w:hideMark/>
          </w:tcPr>
          <w:p w14:paraId="452D38A3" w14:textId="77777777" w:rsidR="0025193D" w:rsidRPr="0025193D" w:rsidRDefault="0025193D" w:rsidP="008023C8">
            <w:pPr>
              <w:tabs>
                <w:tab w:val="left" w:pos="2511"/>
              </w:tabs>
              <w:jc w:val="center"/>
              <w:rPr>
                <w:rFonts w:asciiTheme="majorBidi" w:hAnsiTheme="majorBidi" w:cstheme="majorBidi"/>
                <w:lang w:bidi="fa-IR"/>
              </w:rPr>
            </w:pPr>
            <w:proofErr w:type="spellStart"/>
            <w:r w:rsidRPr="0025193D">
              <w:rPr>
                <w:rFonts w:asciiTheme="majorBidi" w:hAnsiTheme="majorBidi" w:cstheme="majorBidi"/>
                <w:lang w:bidi="fa-IR"/>
              </w:rPr>
              <w:t>Softmax</w:t>
            </w:r>
            <w:proofErr w:type="spellEnd"/>
            <w:r w:rsidRPr="0025193D">
              <w:rPr>
                <w:rFonts w:asciiTheme="majorBidi" w:hAnsiTheme="majorBidi" w:cstheme="majorBidi"/>
                <w:lang w:bidi="fa-IR"/>
              </w:rPr>
              <w:t xml:space="preserve"> (5 classes)</w:t>
            </w:r>
          </w:p>
        </w:tc>
        <w:tc>
          <w:tcPr>
            <w:tcW w:w="3754" w:type="dxa"/>
            <w:hideMark/>
          </w:tcPr>
          <w:p w14:paraId="72E2AAD1"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Multi-class holding classification</w:t>
            </w:r>
          </w:p>
        </w:tc>
      </w:tr>
      <w:tr w:rsidR="0025193D" w:rsidRPr="0025193D" w14:paraId="27C81F3E" w14:textId="77777777" w:rsidTr="008023C8">
        <w:tc>
          <w:tcPr>
            <w:tcW w:w="2173" w:type="dxa"/>
            <w:hideMark/>
          </w:tcPr>
          <w:p w14:paraId="6BD1B5C6"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Loss function</w:t>
            </w:r>
          </w:p>
        </w:tc>
        <w:tc>
          <w:tcPr>
            <w:tcW w:w="1247" w:type="dxa"/>
            <w:hideMark/>
          </w:tcPr>
          <w:p w14:paraId="673756A7"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Categorical cross-entropy</w:t>
            </w:r>
          </w:p>
        </w:tc>
        <w:tc>
          <w:tcPr>
            <w:tcW w:w="3754" w:type="dxa"/>
            <w:hideMark/>
          </w:tcPr>
          <w:p w14:paraId="510429E5"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w:t>
            </w:r>
          </w:p>
        </w:tc>
      </w:tr>
      <w:tr w:rsidR="0025193D" w:rsidRPr="0025193D" w14:paraId="1FA76523" w14:textId="77777777" w:rsidTr="008023C8">
        <w:tc>
          <w:tcPr>
            <w:tcW w:w="2173" w:type="dxa"/>
            <w:hideMark/>
          </w:tcPr>
          <w:p w14:paraId="43635A53"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L2 regularization (dense layer)</w:t>
            </w:r>
          </w:p>
        </w:tc>
        <w:tc>
          <w:tcPr>
            <w:tcW w:w="1247" w:type="dxa"/>
            <w:hideMark/>
          </w:tcPr>
          <w:p w14:paraId="558D02F5" w14:textId="77777777" w:rsidR="0025193D" w:rsidRPr="0025193D" w:rsidRDefault="0025193D" w:rsidP="008023C8">
            <w:pPr>
              <w:tabs>
                <w:tab w:val="left" w:pos="2511"/>
              </w:tabs>
              <w:jc w:val="center"/>
              <w:rPr>
                <w:rFonts w:asciiTheme="majorBidi" w:hAnsiTheme="majorBidi" w:cstheme="majorBidi"/>
                <w:lang w:bidi="fa-IR"/>
              </w:rPr>
            </w:pPr>
            <m:oMathPara>
              <m:oMath>
                <m:r>
                  <w:rPr>
                    <w:rFonts w:ascii="Cambria Math" w:hAnsi="Cambria Math" w:cstheme="majorBidi"/>
                    <w:lang w:bidi="fa-IR"/>
                  </w:rPr>
                  <m:t>1×</m:t>
                </m:r>
                <m:sSup>
                  <m:sSupPr>
                    <m:ctrlPr>
                      <w:rPr>
                        <w:rFonts w:ascii="Cambria Math" w:hAnsi="Cambria Math" w:cstheme="majorBidi"/>
                        <w:lang w:bidi="fa-IR"/>
                      </w:rPr>
                    </m:ctrlPr>
                  </m:sSupPr>
                  <m:e>
                    <m:r>
                      <w:rPr>
                        <w:rFonts w:ascii="Cambria Math" w:hAnsi="Cambria Math" w:cstheme="majorBidi"/>
                        <w:lang w:bidi="fa-IR"/>
                      </w:rPr>
                      <m:t>10</m:t>
                    </m:r>
                  </m:e>
                  <m:sup>
                    <m:r>
                      <w:rPr>
                        <w:rFonts w:ascii="Cambria Math" w:hAnsi="Cambria Math" w:cstheme="majorBidi"/>
                        <w:lang w:bidi="fa-IR"/>
                      </w:rPr>
                      <m:t>-4</m:t>
                    </m:r>
                  </m:sup>
                </m:sSup>
              </m:oMath>
            </m:oMathPara>
          </w:p>
        </w:tc>
        <w:tc>
          <w:tcPr>
            <w:tcW w:w="3754" w:type="dxa"/>
            <w:hideMark/>
          </w:tcPr>
          <w:p w14:paraId="1DB764EC"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Mild weight decay</w:t>
            </w:r>
          </w:p>
        </w:tc>
      </w:tr>
      <w:tr w:rsidR="0025193D" w:rsidRPr="0025193D" w14:paraId="1CD5D26B" w14:textId="77777777" w:rsidTr="008023C8">
        <w:tc>
          <w:tcPr>
            <w:tcW w:w="2173" w:type="dxa"/>
            <w:hideMark/>
          </w:tcPr>
          <w:p w14:paraId="73DFBA6A"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Random seed</w:t>
            </w:r>
          </w:p>
        </w:tc>
        <w:tc>
          <w:tcPr>
            <w:tcW w:w="1247" w:type="dxa"/>
            <w:hideMark/>
          </w:tcPr>
          <w:p w14:paraId="68FF7861"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42 (all folds)</w:t>
            </w:r>
          </w:p>
        </w:tc>
        <w:tc>
          <w:tcPr>
            <w:tcW w:w="3754" w:type="dxa"/>
            <w:hideMark/>
          </w:tcPr>
          <w:p w14:paraId="2BBA1574"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Reproducibility</w:t>
            </w:r>
          </w:p>
        </w:tc>
      </w:tr>
    </w:tbl>
    <w:p w14:paraId="51F60D17" w14:textId="77777777" w:rsidR="0025193D" w:rsidRPr="0025193D" w:rsidRDefault="0025193D" w:rsidP="0025193D">
      <w:pPr>
        <w:tabs>
          <w:tab w:val="left" w:pos="2511"/>
        </w:tabs>
        <w:jc w:val="both"/>
        <w:rPr>
          <w:rFonts w:asciiTheme="majorBidi" w:hAnsiTheme="majorBidi" w:cstheme="majorBidi"/>
          <w:lang w:bidi="fa-IR"/>
        </w:rPr>
      </w:pPr>
    </w:p>
    <w:p w14:paraId="67610A5D" w14:textId="77777777" w:rsidR="0025193D" w:rsidRPr="0025193D" w:rsidRDefault="0025193D" w:rsidP="0025193D">
      <w:pPr>
        <w:tabs>
          <w:tab w:val="left" w:pos="2511"/>
        </w:tabs>
        <w:jc w:val="both"/>
        <w:rPr>
          <w:rFonts w:asciiTheme="majorBidi" w:hAnsiTheme="majorBidi" w:cstheme="majorBidi"/>
          <w:lang w:bidi="fa-IR"/>
        </w:rPr>
      </w:pPr>
    </w:p>
    <w:p w14:paraId="10D777EA" w14:textId="77777777" w:rsidR="0025193D" w:rsidRPr="0025193D" w:rsidRDefault="0025193D" w:rsidP="0025193D">
      <w:pPr>
        <w:tabs>
          <w:tab w:val="left" w:pos="2511"/>
        </w:tabs>
        <w:jc w:val="center"/>
        <w:rPr>
          <w:rFonts w:asciiTheme="majorBidi" w:hAnsiTheme="majorBidi" w:cstheme="majorBidi"/>
          <w:lang w:bidi="fa-IR"/>
        </w:rPr>
      </w:pPr>
      <w:r w:rsidRPr="0025193D">
        <w:rPr>
          <w:rFonts w:asciiTheme="majorBidi" w:hAnsiTheme="majorBidi" w:cstheme="majorBidi"/>
          <w:lang w:bidi="fa-IR"/>
        </w:rPr>
        <w:t>Table S2. Quantitative model-agnostic interpretability metrics (Test Set, n = 5,340)</w:t>
      </w:r>
    </w:p>
    <w:tbl>
      <w:tblPr>
        <w:tblStyle w:val="TableGrid"/>
        <w:tblW w:w="0" w:type="auto"/>
        <w:jc w:val="center"/>
        <w:tblLook w:val="04A0" w:firstRow="1" w:lastRow="0" w:firstColumn="1" w:lastColumn="0" w:noHBand="0" w:noVBand="1"/>
      </w:tblPr>
      <w:tblGrid>
        <w:gridCol w:w="1785"/>
        <w:gridCol w:w="2930"/>
        <w:gridCol w:w="2115"/>
        <w:gridCol w:w="1217"/>
      </w:tblGrid>
      <w:tr w:rsidR="0025193D" w:rsidRPr="0025193D" w14:paraId="5016F4C9" w14:textId="77777777" w:rsidTr="008023C8">
        <w:trPr>
          <w:jc w:val="center"/>
        </w:trPr>
        <w:tc>
          <w:tcPr>
            <w:tcW w:w="0" w:type="auto"/>
            <w:hideMark/>
          </w:tcPr>
          <w:p w14:paraId="35201597" w14:textId="77777777" w:rsidR="0025193D" w:rsidRPr="0025193D" w:rsidRDefault="0025193D" w:rsidP="008023C8">
            <w:pPr>
              <w:tabs>
                <w:tab w:val="left" w:pos="2511"/>
              </w:tabs>
              <w:jc w:val="both"/>
              <w:rPr>
                <w:rFonts w:asciiTheme="majorBidi" w:hAnsiTheme="majorBidi" w:cstheme="majorBidi"/>
                <w:b/>
                <w:bCs/>
                <w:lang w:bidi="fa-IR"/>
              </w:rPr>
            </w:pPr>
            <w:r w:rsidRPr="0025193D">
              <w:rPr>
                <w:rFonts w:asciiTheme="majorBidi" w:hAnsiTheme="majorBidi" w:cstheme="majorBidi"/>
                <w:b/>
                <w:bCs/>
                <w:lang w:bidi="fa-IR"/>
              </w:rPr>
              <w:t>Model</w:t>
            </w:r>
          </w:p>
        </w:tc>
        <w:tc>
          <w:tcPr>
            <w:tcW w:w="0" w:type="auto"/>
            <w:hideMark/>
          </w:tcPr>
          <w:p w14:paraId="2AE90392" w14:textId="77777777" w:rsidR="0025193D" w:rsidRPr="0025193D" w:rsidRDefault="0025193D" w:rsidP="008023C8">
            <w:pPr>
              <w:tabs>
                <w:tab w:val="left" w:pos="2511"/>
              </w:tabs>
              <w:jc w:val="both"/>
              <w:rPr>
                <w:rFonts w:asciiTheme="majorBidi" w:hAnsiTheme="majorBidi" w:cstheme="majorBidi"/>
                <w:b/>
                <w:bCs/>
                <w:lang w:bidi="fa-IR"/>
              </w:rPr>
            </w:pPr>
            <w:r w:rsidRPr="0025193D">
              <w:rPr>
                <w:rFonts w:asciiTheme="majorBidi" w:hAnsiTheme="majorBidi" w:cstheme="majorBidi"/>
                <w:b/>
                <w:bCs/>
                <w:lang w:bidi="fa-IR"/>
              </w:rPr>
              <w:t>Comprehensiveness (</w:t>
            </w:r>
            <m:oMath>
              <m:r>
                <w:rPr>
                  <w:rFonts w:ascii="Cambria Math" w:hAnsi="Cambria Math" w:cstheme="majorBidi"/>
                  <w:lang w:bidi="fa-IR"/>
                </w:rPr>
                <m:t>k=10</m:t>
              </m:r>
            </m:oMath>
            <w:r w:rsidRPr="0025193D">
              <w:rPr>
                <w:rFonts w:asciiTheme="majorBidi" w:hAnsiTheme="majorBidi" w:cstheme="majorBidi"/>
                <w:b/>
                <w:bCs/>
                <w:lang w:bidi="fa-IR"/>
              </w:rPr>
              <w:t>)</w:t>
            </w:r>
          </w:p>
        </w:tc>
        <w:tc>
          <w:tcPr>
            <w:tcW w:w="0" w:type="auto"/>
            <w:hideMark/>
          </w:tcPr>
          <w:p w14:paraId="483AB6FB" w14:textId="77777777" w:rsidR="0025193D" w:rsidRPr="0025193D" w:rsidRDefault="0025193D" w:rsidP="008023C8">
            <w:pPr>
              <w:tabs>
                <w:tab w:val="left" w:pos="2511"/>
              </w:tabs>
              <w:jc w:val="both"/>
              <w:rPr>
                <w:rFonts w:asciiTheme="majorBidi" w:hAnsiTheme="majorBidi" w:cstheme="majorBidi"/>
                <w:b/>
                <w:bCs/>
                <w:lang w:bidi="fa-IR"/>
              </w:rPr>
            </w:pPr>
            <w:r w:rsidRPr="0025193D">
              <w:rPr>
                <w:rFonts w:asciiTheme="majorBidi" w:hAnsiTheme="majorBidi" w:cstheme="majorBidi"/>
                <w:b/>
                <w:bCs/>
                <w:lang w:bidi="fa-IR"/>
              </w:rPr>
              <w:t>Sufficiency (</w:t>
            </w:r>
            <m:oMath>
              <m:r>
                <w:rPr>
                  <w:rFonts w:ascii="Cambria Math" w:hAnsi="Cambria Math" w:cstheme="majorBidi"/>
                  <w:lang w:bidi="fa-IR"/>
                </w:rPr>
                <m:t>k=10</m:t>
              </m:r>
            </m:oMath>
            <w:r w:rsidRPr="0025193D">
              <w:rPr>
                <w:rFonts w:asciiTheme="majorBidi" w:hAnsiTheme="majorBidi" w:cstheme="majorBidi"/>
                <w:b/>
                <w:bCs/>
                <w:lang w:bidi="fa-IR"/>
              </w:rPr>
              <w:t>)</w:t>
            </w:r>
          </w:p>
        </w:tc>
        <w:tc>
          <w:tcPr>
            <w:tcW w:w="0" w:type="auto"/>
            <w:hideMark/>
          </w:tcPr>
          <w:p w14:paraId="0F8A84D7" w14:textId="77777777" w:rsidR="0025193D" w:rsidRPr="0025193D" w:rsidRDefault="0025193D" w:rsidP="008023C8">
            <w:pPr>
              <w:tabs>
                <w:tab w:val="left" w:pos="2511"/>
              </w:tabs>
              <w:jc w:val="both"/>
              <w:rPr>
                <w:rFonts w:asciiTheme="majorBidi" w:hAnsiTheme="majorBidi" w:cstheme="majorBidi"/>
                <w:b/>
                <w:bCs/>
                <w:lang w:bidi="fa-IR"/>
              </w:rPr>
            </w:pPr>
            <w:r w:rsidRPr="0025193D">
              <w:rPr>
                <w:rFonts w:asciiTheme="majorBidi" w:hAnsiTheme="majorBidi" w:cstheme="majorBidi"/>
                <w:b/>
                <w:bCs/>
                <w:lang w:bidi="fa-IR"/>
              </w:rPr>
              <w:t>AOPC</w:t>
            </w:r>
          </w:p>
        </w:tc>
      </w:tr>
      <w:tr w:rsidR="0025193D" w:rsidRPr="0025193D" w14:paraId="240C5479" w14:textId="77777777" w:rsidTr="008023C8">
        <w:trPr>
          <w:jc w:val="center"/>
        </w:trPr>
        <w:tc>
          <w:tcPr>
            <w:tcW w:w="0" w:type="auto"/>
            <w:hideMark/>
          </w:tcPr>
          <w:p w14:paraId="1BB9A434"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b/>
                <w:bCs/>
                <w:lang w:bidi="fa-IR"/>
              </w:rPr>
              <w:t>USCO-</w:t>
            </w:r>
            <w:proofErr w:type="spellStart"/>
            <w:r w:rsidRPr="0025193D">
              <w:rPr>
                <w:rFonts w:asciiTheme="majorBidi" w:hAnsiTheme="majorBidi" w:cstheme="majorBidi"/>
                <w:b/>
                <w:bCs/>
                <w:lang w:bidi="fa-IR"/>
              </w:rPr>
              <w:t>TextCNN</w:t>
            </w:r>
            <w:proofErr w:type="spellEnd"/>
          </w:p>
        </w:tc>
        <w:tc>
          <w:tcPr>
            <w:tcW w:w="0" w:type="auto"/>
            <w:hideMark/>
          </w:tcPr>
          <w:p w14:paraId="3BDD28EC"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b/>
                <w:bCs/>
                <w:lang w:bidi="fa-IR"/>
              </w:rPr>
              <w:t>0.42 ± 0.03</w:t>
            </w:r>
          </w:p>
        </w:tc>
        <w:tc>
          <w:tcPr>
            <w:tcW w:w="0" w:type="auto"/>
            <w:hideMark/>
          </w:tcPr>
          <w:p w14:paraId="2E77AAE5"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b/>
                <w:bCs/>
                <w:lang w:bidi="fa-IR"/>
              </w:rPr>
              <w:t>0.81 ± 0.04</w:t>
            </w:r>
          </w:p>
        </w:tc>
        <w:tc>
          <w:tcPr>
            <w:tcW w:w="0" w:type="auto"/>
            <w:hideMark/>
          </w:tcPr>
          <w:p w14:paraId="3FE3DFC5"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b/>
                <w:bCs/>
                <w:lang w:bidi="fa-IR"/>
              </w:rPr>
              <w:t>0.39 ± 0.02</w:t>
            </w:r>
          </w:p>
        </w:tc>
      </w:tr>
      <w:tr w:rsidR="0025193D" w:rsidRPr="0025193D" w14:paraId="057AD2B1" w14:textId="77777777" w:rsidTr="008023C8">
        <w:trPr>
          <w:jc w:val="center"/>
        </w:trPr>
        <w:tc>
          <w:tcPr>
            <w:tcW w:w="0" w:type="auto"/>
            <w:hideMark/>
          </w:tcPr>
          <w:p w14:paraId="08115983"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Legal-BERT</w:t>
            </w:r>
          </w:p>
        </w:tc>
        <w:tc>
          <w:tcPr>
            <w:tcW w:w="0" w:type="auto"/>
            <w:hideMark/>
          </w:tcPr>
          <w:p w14:paraId="1CA3A8DF"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0.28 ± 0.04</w:t>
            </w:r>
          </w:p>
        </w:tc>
        <w:tc>
          <w:tcPr>
            <w:tcW w:w="0" w:type="auto"/>
            <w:hideMark/>
          </w:tcPr>
          <w:p w14:paraId="4D9221EB"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0.63 ± 0.05</w:t>
            </w:r>
          </w:p>
        </w:tc>
        <w:tc>
          <w:tcPr>
            <w:tcW w:w="0" w:type="auto"/>
            <w:hideMark/>
          </w:tcPr>
          <w:p w14:paraId="7A2C02F8"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0.26 ± 0.03</w:t>
            </w:r>
          </w:p>
        </w:tc>
      </w:tr>
      <w:tr w:rsidR="0025193D" w:rsidRPr="0025193D" w14:paraId="31949439" w14:textId="77777777" w:rsidTr="008023C8">
        <w:trPr>
          <w:jc w:val="center"/>
        </w:trPr>
        <w:tc>
          <w:tcPr>
            <w:tcW w:w="0" w:type="auto"/>
            <w:hideMark/>
          </w:tcPr>
          <w:p w14:paraId="53F187AC"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PSO-CNN</w:t>
            </w:r>
          </w:p>
        </w:tc>
        <w:tc>
          <w:tcPr>
            <w:tcW w:w="0" w:type="auto"/>
            <w:hideMark/>
          </w:tcPr>
          <w:p w14:paraId="73EEB43D"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0.35 ± 0.03</w:t>
            </w:r>
          </w:p>
        </w:tc>
        <w:tc>
          <w:tcPr>
            <w:tcW w:w="0" w:type="auto"/>
            <w:hideMark/>
          </w:tcPr>
          <w:p w14:paraId="27857170"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0.72 ± 0.04</w:t>
            </w:r>
          </w:p>
        </w:tc>
        <w:tc>
          <w:tcPr>
            <w:tcW w:w="0" w:type="auto"/>
            <w:hideMark/>
          </w:tcPr>
          <w:p w14:paraId="455D911B"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0.32 ± 0.02</w:t>
            </w:r>
          </w:p>
        </w:tc>
      </w:tr>
      <w:tr w:rsidR="0025193D" w:rsidRPr="0025193D" w14:paraId="22D11DB9" w14:textId="77777777" w:rsidTr="008023C8">
        <w:trPr>
          <w:jc w:val="center"/>
        </w:trPr>
        <w:tc>
          <w:tcPr>
            <w:tcW w:w="0" w:type="auto"/>
            <w:hideMark/>
          </w:tcPr>
          <w:p w14:paraId="2C071943"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 xml:space="preserve">Vanilla </w:t>
            </w:r>
            <w:proofErr w:type="spellStart"/>
            <w:r w:rsidRPr="0025193D">
              <w:rPr>
                <w:rFonts w:asciiTheme="majorBidi" w:hAnsiTheme="majorBidi" w:cstheme="majorBidi"/>
                <w:lang w:bidi="fa-IR"/>
              </w:rPr>
              <w:t>TextCNN</w:t>
            </w:r>
            <w:proofErr w:type="spellEnd"/>
          </w:p>
        </w:tc>
        <w:tc>
          <w:tcPr>
            <w:tcW w:w="0" w:type="auto"/>
            <w:hideMark/>
          </w:tcPr>
          <w:p w14:paraId="2760EEEA"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0.31 ± 0.04</w:t>
            </w:r>
          </w:p>
        </w:tc>
        <w:tc>
          <w:tcPr>
            <w:tcW w:w="0" w:type="auto"/>
            <w:hideMark/>
          </w:tcPr>
          <w:p w14:paraId="4CBA5D1A"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0.68 ± 0.05</w:t>
            </w:r>
          </w:p>
        </w:tc>
        <w:tc>
          <w:tcPr>
            <w:tcW w:w="0" w:type="auto"/>
            <w:hideMark/>
          </w:tcPr>
          <w:p w14:paraId="24927CF9" w14:textId="77777777" w:rsidR="0025193D" w:rsidRPr="0025193D" w:rsidRDefault="0025193D" w:rsidP="008023C8">
            <w:pPr>
              <w:tabs>
                <w:tab w:val="left" w:pos="2511"/>
              </w:tabs>
              <w:jc w:val="both"/>
              <w:rPr>
                <w:rFonts w:asciiTheme="majorBidi" w:hAnsiTheme="majorBidi" w:cstheme="majorBidi"/>
                <w:lang w:bidi="fa-IR"/>
              </w:rPr>
            </w:pPr>
            <w:r w:rsidRPr="0025193D">
              <w:rPr>
                <w:rFonts w:asciiTheme="majorBidi" w:hAnsiTheme="majorBidi" w:cstheme="majorBidi"/>
                <w:lang w:bidi="fa-IR"/>
              </w:rPr>
              <w:t>0.29 ± 0.03</w:t>
            </w:r>
          </w:p>
        </w:tc>
      </w:tr>
    </w:tbl>
    <w:p w14:paraId="4B6DFDB3" w14:textId="77777777" w:rsidR="0025193D" w:rsidRPr="0025193D" w:rsidRDefault="0025193D" w:rsidP="0025193D">
      <w:pPr>
        <w:tabs>
          <w:tab w:val="left" w:pos="2511"/>
        </w:tabs>
        <w:jc w:val="both"/>
        <w:rPr>
          <w:rFonts w:asciiTheme="majorBidi" w:hAnsiTheme="majorBidi" w:cstheme="majorBidi"/>
          <w:lang w:bidi="fa-IR"/>
        </w:rPr>
      </w:pPr>
    </w:p>
    <w:p w14:paraId="55AA9E68" w14:textId="77777777" w:rsidR="0025193D" w:rsidRPr="0025193D" w:rsidRDefault="0025193D" w:rsidP="0025193D">
      <w:pPr>
        <w:tabs>
          <w:tab w:val="left" w:pos="2511"/>
        </w:tabs>
        <w:jc w:val="both"/>
        <w:rPr>
          <w:rFonts w:asciiTheme="majorBidi" w:hAnsiTheme="majorBidi" w:cstheme="majorBidi"/>
          <w:lang w:bidi="fa-IR"/>
        </w:rPr>
      </w:pPr>
      <w:r w:rsidRPr="0025193D">
        <w:rPr>
          <w:rFonts w:asciiTheme="majorBidi" w:hAnsiTheme="majorBidi" w:cstheme="majorBidi"/>
          <w:lang w:bidi="fa-IR"/>
        </w:rPr>
        <w:t xml:space="preserve">The metrics were computed using the top-k features based on the absolute SHAP value, varying k from 1 to 20. Values are presented as the mean standard deviation across the five cross-validation folds. </w:t>
      </w:r>
    </w:p>
    <w:p w14:paraId="0D8BE895" w14:textId="77777777" w:rsidR="0025193D" w:rsidRPr="0025193D" w:rsidRDefault="0025193D" w:rsidP="0025193D">
      <w:pPr>
        <w:pStyle w:val="ListParagraph"/>
        <w:numPr>
          <w:ilvl w:val="0"/>
          <w:numId w:val="2"/>
        </w:numPr>
        <w:tabs>
          <w:tab w:val="left" w:pos="2511"/>
        </w:tabs>
        <w:jc w:val="both"/>
        <w:rPr>
          <w:rFonts w:asciiTheme="majorBidi" w:hAnsiTheme="majorBidi" w:cstheme="majorBidi"/>
          <w:lang w:bidi="fa-IR"/>
        </w:rPr>
      </w:pPr>
      <w:r w:rsidRPr="0025193D">
        <w:rPr>
          <w:rFonts w:asciiTheme="majorBidi" w:hAnsiTheme="majorBidi" w:cstheme="majorBidi"/>
          <w:lang w:bidi="fa-IR"/>
        </w:rPr>
        <w:t xml:space="preserve">Comprehensiveness: decrease in the predicted probability of the correct class upon removing the top-k features. </w:t>
      </w:r>
    </w:p>
    <w:p w14:paraId="4B6645B7" w14:textId="77777777" w:rsidR="0025193D" w:rsidRPr="0025193D" w:rsidRDefault="0025193D" w:rsidP="0025193D">
      <w:pPr>
        <w:pStyle w:val="ListParagraph"/>
        <w:numPr>
          <w:ilvl w:val="0"/>
          <w:numId w:val="2"/>
        </w:numPr>
        <w:tabs>
          <w:tab w:val="left" w:pos="2511"/>
        </w:tabs>
        <w:jc w:val="both"/>
        <w:rPr>
          <w:rFonts w:asciiTheme="majorBidi" w:hAnsiTheme="majorBidi" w:cstheme="majorBidi"/>
          <w:lang w:bidi="fa-IR"/>
        </w:rPr>
      </w:pPr>
      <w:r w:rsidRPr="0025193D">
        <w:rPr>
          <w:rFonts w:asciiTheme="majorBidi" w:hAnsiTheme="majorBidi" w:cstheme="majorBidi"/>
          <w:lang w:bidi="fa-IR"/>
        </w:rPr>
        <w:t xml:space="preserve">Sufficiency: increase in the probability retained when only using the top-k features. </w:t>
      </w:r>
    </w:p>
    <w:p w14:paraId="2D8D500E" w14:textId="77777777" w:rsidR="0025193D" w:rsidRPr="0025193D" w:rsidRDefault="0025193D" w:rsidP="0025193D">
      <w:pPr>
        <w:pStyle w:val="ListParagraph"/>
        <w:numPr>
          <w:ilvl w:val="0"/>
          <w:numId w:val="2"/>
        </w:numPr>
        <w:tabs>
          <w:tab w:val="left" w:pos="2511"/>
        </w:tabs>
        <w:jc w:val="both"/>
        <w:rPr>
          <w:rFonts w:asciiTheme="majorBidi" w:hAnsiTheme="majorBidi" w:cstheme="majorBidi"/>
          <w:lang w:bidi="fa-IR"/>
        </w:rPr>
      </w:pPr>
      <w:r w:rsidRPr="0025193D">
        <w:rPr>
          <w:rFonts w:asciiTheme="majorBidi" w:hAnsiTheme="majorBidi" w:cstheme="majorBidi"/>
          <w:lang w:bidi="fa-IR"/>
        </w:rPr>
        <w:t xml:space="preserve">Area Over the Perturbation Curve (AOPC): accounts for the trade-off between comprehensiveness and sufficiency over all values of k. </w:t>
      </w:r>
    </w:p>
    <w:p w14:paraId="2144E302" w14:textId="77777777" w:rsidR="0025193D" w:rsidRPr="0025193D" w:rsidRDefault="0025193D" w:rsidP="0025193D">
      <w:pPr>
        <w:tabs>
          <w:tab w:val="left" w:pos="2511"/>
        </w:tabs>
        <w:jc w:val="both"/>
        <w:rPr>
          <w:rFonts w:asciiTheme="majorBidi" w:hAnsiTheme="majorBidi" w:cstheme="majorBidi"/>
          <w:lang w:bidi="fa-IR"/>
        </w:rPr>
      </w:pPr>
      <w:r w:rsidRPr="0025193D">
        <w:rPr>
          <w:rFonts w:asciiTheme="majorBidi" w:hAnsiTheme="majorBidi" w:cstheme="majorBidi"/>
          <w:lang w:bidi="fa-IR"/>
        </w:rPr>
        <w:lastRenderedPageBreak/>
        <w:t>All values higher represent a more faithful and parsimonious explanation. Our USCO-</w:t>
      </w:r>
      <w:proofErr w:type="spellStart"/>
      <w:r w:rsidRPr="0025193D">
        <w:rPr>
          <w:rFonts w:asciiTheme="majorBidi" w:hAnsiTheme="majorBidi" w:cstheme="majorBidi"/>
          <w:lang w:bidi="fa-IR"/>
        </w:rPr>
        <w:t>TextCNN</w:t>
      </w:r>
      <w:proofErr w:type="spellEnd"/>
      <w:r w:rsidRPr="0025193D">
        <w:rPr>
          <w:rFonts w:asciiTheme="majorBidi" w:hAnsiTheme="majorBidi" w:cstheme="majorBidi"/>
          <w:lang w:bidi="fa-IR"/>
        </w:rPr>
        <w:t xml:space="preserve"> significantly outperforms the baselines in all aspects due to its n-gram-constrained filters for selecting legally discriminative fragments.</w:t>
      </w:r>
    </w:p>
    <w:p w14:paraId="6AC586DC" w14:textId="77777777" w:rsidR="0025193D" w:rsidRPr="0025193D" w:rsidRDefault="0025193D" w:rsidP="0025193D">
      <w:pPr>
        <w:tabs>
          <w:tab w:val="left" w:pos="2511"/>
        </w:tabs>
        <w:jc w:val="both"/>
        <w:rPr>
          <w:rFonts w:asciiTheme="majorBidi" w:hAnsiTheme="majorBidi" w:cstheme="majorBidi"/>
          <w:lang w:bidi="fa-IR"/>
        </w:rPr>
      </w:pPr>
    </w:p>
    <w:p w14:paraId="36D39C89" w14:textId="77777777" w:rsidR="0025193D" w:rsidRPr="0025193D" w:rsidRDefault="0025193D" w:rsidP="0025193D">
      <w:pPr>
        <w:tabs>
          <w:tab w:val="left" w:pos="2511"/>
        </w:tabs>
        <w:jc w:val="center"/>
        <w:rPr>
          <w:rFonts w:asciiTheme="majorBidi" w:hAnsiTheme="majorBidi" w:cstheme="majorBidi"/>
          <w:lang w:bidi="fa-IR"/>
        </w:rPr>
      </w:pPr>
      <w:r w:rsidRPr="0025193D">
        <w:rPr>
          <w:rFonts w:asciiTheme="majorBidi" w:hAnsiTheme="majorBidi" w:cstheme="majorBidi"/>
          <w:lang w:bidi="fa-IR"/>
        </w:rPr>
        <w:t>Table S3. Zero-shot and fine-tuned performance on external legal NLP benchmarks</w:t>
      </w:r>
    </w:p>
    <w:tbl>
      <w:tblPr>
        <w:tblStyle w:val="TableGrid"/>
        <w:tblW w:w="0" w:type="auto"/>
        <w:jc w:val="center"/>
        <w:tblLook w:val="04A0" w:firstRow="1" w:lastRow="0" w:firstColumn="1" w:lastColumn="0" w:noHBand="0" w:noVBand="1"/>
      </w:tblPr>
      <w:tblGrid>
        <w:gridCol w:w="1165"/>
        <w:gridCol w:w="2160"/>
        <w:gridCol w:w="1080"/>
        <w:gridCol w:w="1350"/>
        <w:gridCol w:w="1440"/>
        <w:gridCol w:w="1530"/>
      </w:tblGrid>
      <w:tr w:rsidR="0025193D" w:rsidRPr="0025193D" w14:paraId="369D7A8C" w14:textId="77777777" w:rsidTr="008023C8">
        <w:trPr>
          <w:jc w:val="center"/>
        </w:trPr>
        <w:tc>
          <w:tcPr>
            <w:tcW w:w="1165" w:type="dxa"/>
            <w:hideMark/>
          </w:tcPr>
          <w:p w14:paraId="6F28FBEC"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Dataset</w:t>
            </w:r>
          </w:p>
        </w:tc>
        <w:tc>
          <w:tcPr>
            <w:tcW w:w="2160" w:type="dxa"/>
            <w:hideMark/>
          </w:tcPr>
          <w:p w14:paraId="125589DE"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Task</w:t>
            </w:r>
          </w:p>
        </w:tc>
        <w:tc>
          <w:tcPr>
            <w:tcW w:w="1080" w:type="dxa"/>
            <w:hideMark/>
          </w:tcPr>
          <w:p w14:paraId="7696CA4F"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Metric</w:t>
            </w:r>
          </w:p>
        </w:tc>
        <w:tc>
          <w:tcPr>
            <w:tcW w:w="1350" w:type="dxa"/>
            <w:hideMark/>
          </w:tcPr>
          <w:p w14:paraId="11DC2F8A"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USCO-</w:t>
            </w:r>
            <w:proofErr w:type="spellStart"/>
            <w:r w:rsidRPr="0025193D">
              <w:rPr>
                <w:rFonts w:asciiTheme="majorBidi" w:hAnsiTheme="majorBidi" w:cstheme="majorBidi"/>
                <w:b/>
                <w:bCs/>
                <w:lang w:bidi="fa-IR"/>
              </w:rPr>
              <w:t>TextCNN</w:t>
            </w:r>
            <w:proofErr w:type="spellEnd"/>
            <w:r w:rsidRPr="0025193D">
              <w:rPr>
                <w:rFonts w:asciiTheme="majorBidi" w:hAnsiTheme="majorBidi" w:cstheme="majorBidi"/>
                <w:b/>
                <w:bCs/>
                <w:lang w:bidi="fa-IR"/>
              </w:rPr>
              <w:t xml:space="preserve"> (Zero-shot)</w:t>
            </w:r>
          </w:p>
        </w:tc>
        <w:tc>
          <w:tcPr>
            <w:tcW w:w="1440" w:type="dxa"/>
            <w:hideMark/>
          </w:tcPr>
          <w:p w14:paraId="471877E8"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USCO-</w:t>
            </w:r>
            <w:proofErr w:type="spellStart"/>
            <w:r w:rsidRPr="0025193D">
              <w:rPr>
                <w:rFonts w:asciiTheme="majorBidi" w:hAnsiTheme="majorBidi" w:cstheme="majorBidi"/>
                <w:b/>
                <w:bCs/>
                <w:lang w:bidi="fa-IR"/>
              </w:rPr>
              <w:t>TextCNN</w:t>
            </w:r>
            <w:proofErr w:type="spellEnd"/>
            <w:r w:rsidRPr="0025193D">
              <w:rPr>
                <w:rFonts w:asciiTheme="majorBidi" w:hAnsiTheme="majorBidi" w:cstheme="majorBidi"/>
                <w:b/>
                <w:bCs/>
                <w:lang w:bidi="fa-IR"/>
              </w:rPr>
              <w:t xml:space="preserve"> (Fine-tuned)</w:t>
            </w:r>
          </w:p>
        </w:tc>
        <w:tc>
          <w:tcPr>
            <w:tcW w:w="1530" w:type="dxa"/>
            <w:hideMark/>
          </w:tcPr>
          <w:p w14:paraId="10BCD0A8" w14:textId="77777777" w:rsidR="0025193D" w:rsidRPr="0025193D" w:rsidRDefault="0025193D" w:rsidP="008023C8">
            <w:pPr>
              <w:tabs>
                <w:tab w:val="left" w:pos="2511"/>
              </w:tabs>
              <w:jc w:val="center"/>
              <w:rPr>
                <w:rFonts w:asciiTheme="majorBidi" w:hAnsiTheme="majorBidi" w:cstheme="majorBidi"/>
                <w:b/>
                <w:bCs/>
                <w:lang w:bidi="fa-IR"/>
              </w:rPr>
            </w:pPr>
            <w:r w:rsidRPr="0025193D">
              <w:rPr>
                <w:rFonts w:asciiTheme="majorBidi" w:hAnsiTheme="majorBidi" w:cstheme="majorBidi"/>
                <w:b/>
                <w:bCs/>
                <w:lang w:bidi="fa-IR"/>
              </w:rPr>
              <w:t>Legal-BERT (Fine-tuned)</w:t>
            </w:r>
          </w:p>
        </w:tc>
      </w:tr>
      <w:tr w:rsidR="0025193D" w:rsidRPr="0025193D" w14:paraId="360D73A8" w14:textId="77777777" w:rsidTr="008023C8">
        <w:trPr>
          <w:jc w:val="center"/>
        </w:trPr>
        <w:tc>
          <w:tcPr>
            <w:tcW w:w="1165" w:type="dxa"/>
            <w:hideMark/>
          </w:tcPr>
          <w:p w14:paraId="52732B91"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EUR-Lex (19 800 docs)</w:t>
            </w:r>
          </w:p>
        </w:tc>
        <w:tc>
          <w:tcPr>
            <w:tcW w:w="2160" w:type="dxa"/>
            <w:hideMark/>
          </w:tcPr>
          <w:p w14:paraId="275B4A4B"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 xml:space="preserve">Multi-label topic classification (21 </w:t>
            </w:r>
            <w:proofErr w:type="spellStart"/>
            <w:r w:rsidRPr="0025193D">
              <w:rPr>
                <w:rFonts w:asciiTheme="majorBidi" w:hAnsiTheme="majorBidi" w:cstheme="majorBidi"/>
                <w:lang w:bidi="fa-IR"/>
              </w:rPr>
              <w:t>Eurovoc</w:t>
            </w:r>
            <w:proofErr w:type="spellEnd"/>
            <w:r w:rsidRPr="0025193D">
              <w:rPr>
                <w:rFonts w:asciiTheme="majorBidi" w:hAnsiTheme="majorBidi" w:cstheme="majorBidi"/>
                <w:lang w:bidi="fa-IR"/>
              </w:rPr>
              <w:t>)</w:t>
            </w:r>
          </w:p>
        </w:tc>
        <w:tc>
          <w:tcPr>
            <w:tcW w:w="1080" w:type="dxa"/>
            <w:hideMark/>
          </w:tcPr>
          <w:p w14:paraId="743DF94F"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Micro-F1</w:t>
            </w:r>
          </w:p>
        </w:tc>
        <w:tc>
          <w:tcPr>
            <w:tcW w:w="1350" w:type="dxa"/>
            <w:hideMark/>
          </w:tcPr>
          <w:p w14:paraId="08923248"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71.3 ± 0.8</w:t>
            </w:r>
          </w:p>
        </w:tc>
        <w:tc>
          <w:tcPr>
            <w:tcW w:w="1440" w:type="dxa"/>
            <w:hideMark/>
          </w:tcPr>
          <w:p w14:paraId="6B9F9AE4"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78.9 ± 0.6</w:t>
            </w:r>
          </w:p>
        </w:tc>
        <w:tc>
          <w:tcPr>
            <w:tcW w:w="1530" w:type="dxa"/>
            <w:hideMark/>
          </w:tcPr>
          <w:p w14:paraId="65061982"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80.2 ± 0.5</w:t>
            </w:r>
          </w:p>
        </w:tc>
      </w:tr>
      <w:tr w:rsidR="0025193D" w:rsidRPr="0025193D" w14:paraId="361B95F5" w14:textId="77777777" w:rsidTr="008023C8">
        <w:trPr>
          <w:jc w:val="center"/>
        </w:trPr>
        <w:tc>
          <w:tcPr>
            <w:tcW w:w="1165" w:type="dxa"/>
            <w:hideMark/>
          </w:tcPr>
          <w:p w14:paraId="3D1ACF4B"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COLIEE 2023 (2 840 pairs)</w:t>
            </w:r>
          </w:p>
        </w:tc>
        <w:tc>
          <w:tcPr>
            <w:tcW w:w="2160" w:type="dxa"/>
            <w:hideMark/>
          </w:tcPr>
          <w:p w14:paraId="488F533A"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Binary case relevance (Japanese civil law, English translation)</w:t>
            </w:r>
          </w:p>
        </w:tc>
        <w:tc>
          <w:tcPr>
            <w:tcW w:w="1080" w:type="dxa"/>
            <w:hideMark/>
          </w:tcPr>
          <w:p w14:paraId="3D78AFE3"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Accuracy</w:t>
            </w:r>
          </w:p>
        </w:tc>
        <w:tc>
          <w:tcPr>
            <w:tcW w:w="1350" w:type="dxa"/>
            <w:hideMark/>
          </w:tcPr>
          <w:p w14:paraId="5A006CCF"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68.4 ± 1.1</w:t>
            </w:r>
          </w:p>
        </w:tc>
        <w:tc>
          <w:tcPr>
            <w:tcW w:w="1440" w:type="dxa"/>
            <w:hideMark/>
          </w:tcPr>
          <w:p w14:paraId="5D5B16C4"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79.1 ± 0.9</w:t>
            </w:r>
          </w:p>
        </w:tc>
        <w:tc>
          <w:tcPr>
            <w:tcW w:w="1530" w:type="dxa"/>
            <w:hideMark/>
          </w:tcPr>
          <w:p w14:paraId="0A8547AE" w14:textId="77777777" w:rsidR="0025193D" w:rsidRPr="0025193D" w:rsidRDefault="0025193D" w:rsidP="008023C8">
            <w:pPr>
              <w:tabs>
                <w:tab w:val="left" w:pos="2511"/>
              </w:tabs>
              <w:jc w:val="center"/>
              <w:rPr>
                <w:rFonts w:asciiTheme="majorBidi" w:hAnsiTheme="majorBidi" w:cstheme="majorBidi"/>
                <w:lang w:bidi="fa-IR"/>
              </w:rPr>
            </w:pPr>
            <w:r w:rsidRPr="0025193D">
              <w:rPr>
                <w:rFonts w:asciiTheme="majorBidi" w:hAnsiTheme="majorBidi" w:cstheme="majorBidi"/>
                <w:lang w:bidi="fa-IR"/>
              </w:rPr>
              <w:t>82.5 ± 0.7</w:t>
            </w:r>
          </w:p>
        </w:tc>
      </w:tr>
    </w:tbl>
    <w:p w14:paraId="5B54B73D" w14:textId="77777777" w:rsidR="0025193D" w:rsidRPr="0025193D" w:rsidRDefault="0025193D" w:rsidP="0025193D">
      <w:pPr>
        <w:tabs>
          <w:tab w:val="left" w:pos="2511"/>
        </w:tabs>
        <w:jc w:val="both"/>
        <w:rPr>
          <w:rFonts w:asciiTheme="majorBidi" w:hAnsiTheme="majorBidi" w:cstheme="majorBidi"/>
          <w:lang w:bidi="fa-IR"/>
        </w:rPr>
      </w:pPr>
    </w:p>
    <w:p w14:paraId="5C0673D4" w14:textId="77777777" w:rsidR="0025193D" w:rsidRPr="00861BDC" w:rsidRDefault="0025193D" w:rsidP="0025193D">
      <w:pPr>
        <w:tabs>
          <w:tab w:val="left" w:pos="2511"/>
        </w:tabs>
        <w:jc w:val="both"/>
        <w:rPr>
          <w:rFonts w:asciiTheme="majorBidi" w:hAnsiTheme="majorBidi" w:cstheme="majorBidi"/>
          <w:lang w:bidi="fa-IR"/>
        </w:rPr>
      </w:pPr>
      <w:r w:rsidRPr="0025193D">
        <w:rPr>
          <w:rFonts w:asciiTheme="majorBidi" w:hAnsiTheme="majorBidi" w:cstheme="majorBidi"/>
          <w:lang w:bidi="fa-IR"/>
        </w:rPr>
        <w:t>Architecture and hyperparameters of USCO-</w:t>
      </w:r>
      <w:proofErr w:type="spellStart"/>
      <w:r w:rsidRPr="0025193D">
        <w:rPr>
          <w:rFonts w:asciiTheme="majorBidi" w:hAnsiTheme="majorBidi" w:cstheme="majorBidi"/>
          <w:lang w:bidi="fa-IR"/>
        </w:rPr>
        <w:t>TextCNN</w:t>
      </w:r>
      <w:proofErr w:type="spellEnd"/>
      <w:r w:rsidRPr="0025193D">
        <w:rPr>
          <w:rFonts w:asciiTheme="majorBidi" w:hAnsiTheme="majorBidi" w:cstheme="majorBidi"/>
          <w:lang w:bidi="fa-IR"/>
        </w:rPr>
        <w:t xml:space="preserve"> were held the same as what was tuned for </w:t>
      </w:r>
      <w:proofErr w:type="spellStart"/>
      <w:r w:rsidRPr="0025193D">
        <w:rPr>
          <w:rFonts w:asciiTheme="majorBidi" w:hAnsiTheme="majorBidi" w:cstheme="majorBidi"/>
          <w:lang w:bidi="fa-IR"/>
        </w:rPr>
        <w:t>CaseHOLD</w:t>
      </w:r>
      <w:proofErr w:type="spellEnd"/>
      <w:r w:rsidRPr="0025193D">
        <w:rPr>
          <w:rFonts w:asciiTheme="majorBidi" w:hAnsiTheme="majorBidi" w:cstheme="majorBidi"/>
          <w:lang w:bidi="fa-IR"/>
        </w:rPr>
        <w:t>. Only the very final classification layer was fine-tuned when it was specified. Legal-BERT result is added for comparison under the same conditions.  We can see that fine-tuned USCO-</w:t>
      </w:r>
      <w:proofErr w:type="spellStart"/>
      <w:r w:rsidRPr="0025193D">
        <w:rPr>
          <w:rFonts w:asciiTheme="majorBidi" w:hAnsiTheme="majorBidi" w:cstheme="majorBidi"/>
          <w:lang w:bidi="fa-IR"/>
        </w:rPr>
        <w:t>TextCNN</w:t>
      </w:r>
      <w:proofErr w:type="spellEnd"/>
      <w:r w:rsidRPr="0025193D">
        <w:rPr>
          <w:rFonts w:asciiTheme="majorBidi" w:hAnsiTheme="majorBidi" w:cstheme="majorBidi"/>
          <w:lang w:bidi="fa-IR"/>
        </w:rPr>
        <w:t xml:space="preserve"> on EUR-Lex did not perform significantly worse than Legal-BERT (p-value=0.07 based on t-test on five random splits of folded training) and also performed favorably on the COLIEE test set although with domain and language shifts.</w:t>
      </w:r>
      <w:r w:rsidRPr="00861BDC">
        <w:rPr>
          <w:rFonts w:asciiTheme="majorBidi" w:hAnsiTheme="majorBidi" w:cstheme="majorBidi"/>
          <w:lang w:bidi="fa-IR"/>
        </w:rPr>
        <w:t xml:space="preserve"> </w:t>
      </w:r>
    </w:p>
    <w:p w14:paraId="7E966F98" w14:textId="77777777" w:rsidR="0025193D" w:rsidRPr="00481D0B" w:rsidRDefault="0025193D" w:rsidP="0025193D">
      <w:pPr>
        <w:tabs>
          <w:tab w:val="left" w:pos="2511"/>
        </w:tabs>
        <w:jc w:val="both"/>
        <w:rPr>
          <w:rFonts w:asciiTheme="majorBidi" w:hAnsiTheme="majorBidi" w:cstheme="majorBidi"/>
          <w:rtl/>
          <w:lang w:bidi="fa-IR"/>
        </w:rPr>
      </w:pPr>
    </w:p>
    <w:p w14:paraId="25E5F8F9" w14:textId="77777777" w:rsidR="00EA568D" w:rsidRDefault="00EA568D"/>
    <w:sectPr w:rsidR="00EA568D" w:rsidSect="0025193D">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B2C"/>
    <w:multiLevelType w:val="hybridMultilevel"/>
    <w:tmpl w:val="33BC0A52"/>
    <w:lvl w:ilvl="0" w:tplc="EF7281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EF2204"/>
    <w:multiLevelType w:val="hybridMultilevel"/>
    <w:tmpl w:val="BD40DE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5889033">
    <w:abstractNumId w:val="0"/>
  </w:num>
  <w:num w:numId="2" w16cid:durableId="1297613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CD8"/>
    <w:rsid w:val="0025193D"/>
    <w:rsid w:val="00350F3F"/>
    <w:rsid w:val="003B357A"/>
    <w:rsid w:val="00740CE3"/>
    <w:rsid w:val="008D7CD8"/>
    <w:rsid w:val="00A058F3"/>
    <w:rsid w:val="00E9292B"/>
    <w:rsid w:val="00EA56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AF4F90-1519-4988-8E2A-EE1164FB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93D"/>
    <w:pPr>
      <w:spacing w:after="0" w:line="360" w:lineRule="auto"/>
    </w:pPr>
    <w:rPr>
      <w:rFonts w:ascii="Times New Roman" w:hAnsi="Times New Roman"/>
      <w:sz w:val="22"/>
      <w:szCs w:val="22"/>
    </w:rPr>
  </w:style>
  <w:style w:type="paragraph" w:styleId="Heading1">
    <w:name w:val="heading 1"/>
    <w:basedOn w:val="Normal"/>
    <w:next w:val="Normal"/>
    <w:link w:val="Heading1Char"/>
    <w:uiPriority w:val="9"/>
    <w:qFormat/>
    <w:rsid w:val="008D7C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7C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7C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7C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7C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7C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C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C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C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C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7C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7C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7C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7C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7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CD8"/>
    <w:rPr>
      <w:rFonts w:eastAsiaTheme="majorEastAsia" w:cstheme="majorBidi"/>
      <w:color w:val="272727" w:themeColor="text1" w:themeTint="D8"/>
    </w:rPr>
  </w:style>
  <w:style w:type="paragraph" w:styleId="Title">
    <w:name w:val="Title"/>
    <w:basedOn w:val="Normal"/>
    <w:next w:val="Normal"/>
    <w:link w:val="TitleChar"/>
    <w:uiPriority w:val="10"/>
    <w:qFormat/>
    <w:rsid w:val="008D7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C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CD8"/>
    <w:pPr>
      <w:spacing w:before="160"/>
      <w:jc w:val="center"/>
    </w:pPr>
    <w:rPr>
      <w:i/>
      <w:iCs/>
      <w:color w:val="404040" w:themeColor="text1" w:themeTint="BF"/>
    </w:rPr>
  </w:style>
  <w:style w:type="character" w:customStyle="1" w:styleId="QuoteChar">
    <w:name w:val="Quote Char"/>
    <w:basedOn w:val="DefaultParagraphFont"/>
    <w:link w:val="Quote"/>
    <w:uiPriority w:val="29"/>
    <w:rsid w:val="008D7CD8"/>
    <w:rPr>
      <w:i/>
      <w:iCs/>
      <w:color w:val="404040" w:themeColor="text1" w:themeTint="BF"/>
    </w:rPr>
  </w:style>
  <w:style w:type="paragraph" w:styleId="ListParagraph">
    <w:name w:val="List Paragraph"/>
    <w:basedOn w:val="Normal"/>
    <w:link w:val="ListParagraphChar"/>
    <w:uiPriority w:val="34"/>
    <w:qFormat/>
    <w:rsid w:val="008D7CD8"/>
    <w:pPr>
      <w:ind w:left="720"/>
      <w:contextualSpacing/>
    </w:pPr>
  </w:style>
  <w:style w:type="character" w:styleId="IntenseEmphasis">
    <w:name w:val="Intense Emphasis"/>
    <w:basedOn w:val="DefaultParagraphFont"/>
    <w:uiPriority w:val="21"/>
    <w:qFormat/>
    <w:rsid w:val="008D7CD8"/>
    <w:rPr>
      <w:i/>
      <w:iCs/>
      <w:color w:val="2F5496" w:themeColor="accent1" w:themeShade="BF"/>
    </w:rPr>
  </w:style>
  <w:style w:type="paragraph" w:styleId="IntenseQuote">
    <w:name w:val="Intense Quote"/>
    <w:basedOn w:val="Normal"/>
    <w:next w:val="Normal"/>
    <w:link w:val="IntenseQuoteChar"/>
    <w:uiPriority w:val="30"/>
    <w:qFormat/>
    <w:rsid w:val="008D7C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7CD8"/>
    <w:rPr>
      <w:i/>
      <w:iCs/>
      <w:color w:val="2F5496" w:themeColor="accent1" w:themeShade="BF"/>
    </w:rPr>
  </w:style>
  <w:style w:type="character" w:styleId="IntenseReference">
    <w:name w:val="Intense Reference"/>
    <w:basedOn w:val="DefaultParagraphFont"/>
    <w:uiPriority w:val="32"/>
    <w:qFormat/>
    <w:rsid w:val="008D7CD8"/>
    <w:rPr>
      <w:b/>
      <w:bCs/>
      <w:smallCaps/>
      <w:color w:val="2F5496" w:themeColor="accent1" w:themeShade="BF"/>
      <w:spacing w:val="5"/>
    </w:rPr>
  </w:style>
  <w:style w:type="table" w:styleId="TableGrid">
    <w:name w:val="Table Grid"/>
    <w:basedOn w:val="TableNormal"/>
    <w:uiPriority w:val="39"/>
    <w:rsid w:val="0025193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25193D"/>
  </w:style>
  <w:style w:type="character" w:styleId="LineNumber">
    <w:name w:val="line number"/>
    <w:basedOn w:val="DefaultParagraphFont"/>
    <w:uiPriority w:val="99"/>
    <w:semiHidden/>
    <w:unhideWhenUsed/>
    <w:rsid w:val="00251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2026-08-05T08:39:00Z</dcterms:created>
  <dcterms:modified xsi:type="dcterms:W3CDTF">2026-08-05T08:40:00Z</dcterms:modified>
</cp:coreProperties>
</file>