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DA0C2" w14:textId="77777777" w:rsidR="005E67D6" w:rsidRDefault="005E67D6" w:rsidP="005E67D6">
      <w:pPr>
        <w:jc w:val="center"/>
      </w:pPr>
      <w:r w:rsidRPr="003816AE">
        <w:rPr>
          <w:rFonts w:ascii="Times New Roman" w:hAnsi="Times New Roman" w:cs="Times New Roman"/>
          <w:sz w:val="24"/>
          <w:szCs w:val="24"/>
        </w:rPr>
        <w:t>Table S1: Domains, subthemes and themes</w:t>
      </w:r>
      <w:r>
        <w:br/>
      </w:r>
    </w:p>
    <w:tbl>
      <w:tblPr>
        <w:tblStyle w:val="TableGrid"/>
        <w:tblW w:w="15438" w:type="dxa"/>
        <w:jc w:val="center"/>
        <w:tblLook w:val="04A0" w:firstRow="1" w:lastRow="0" w:firstColumn="1" w:lastColumn="0" w:noHBand="0" w:noVBand="1"/>
      </w:tblPr>
      <w:tblGrid>
        <w:gridCol w:w="963"/>
        <w:gridCol w:w="2393"/>
        <w:gridCol w:w="7687"/>
        <w:gridCol w:w="4395"/>
      </w:tblGrid>
      <w:tr w:rsidR="005E67D6" w14:paraId="2B06E6A1" w14:textId="77777777" w:rsidTr="00296FC7">
        <w:trPr>
          <w:jc w:val="center"/>
        </w:trPr>
        <w:tc>
          <w:tcPr>
            <w:tcW w:w="963" w:type="dxa"/>
            <w:vAlign w:val="center"/>
          </w:tcPr>
          <w:p w14:paraId="5E9CF8FC" w14:textId="77777777" w:rsidR="005E67D6" w:rsidRPr="003816AE" w:rsidRDefault="005E67D6" w:rsidP="00296FC7">
            <w:pPr>
              <w:pStyle w:val="NormalWeb"/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3816AE">
              <w:rPr>
                <w:b/>
                <w:bCs/>
                <w:color w:val="000000"/>
              </w:rPr>
              <w:t>S. No.</w:t>
            </w:r>
          </w:p>
        </w:tc>
        <w:tc>
          <w:tcPr>
            <w:tcW w:w="2393" w:type="dxa"/>
            <w:vAlign w:val="center"/>
          </w:tcPr>
          <w:p w14:paraId="4708B277" w14:textId="77777777" w:rsidR="005E67D6" w:rsidRPr="003816AE" w:rsidRDefault="005E67D6" w:rsidP="00296FC7">
            <w:pPr>
              <w:pStyle w:val="NormalWeb"/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3816AE">
              <w:rPr>
                <w:b/>
                <w:bCs/>
                <w:color w:val="000000"/>
              </w:rPr>
              <w:t>Domains</w:t>
            </w:r>
          </w:p>
        </w:tc>
        <w:tc>
          <w:tcPr>
            <w:tcW w:w="7687" w:type="dxa"/>
            <w:vAlign w:val="center"/>
          </w:tcPr>
          <w:p w14:paraId="33B34DAE" w14:textId="77777777" w:rsidR="005E67D6" w:rsidRPr="003816AE" w:rsidRDefault="005E67D6" w:rsidP="00296FC7">
            <w:pPr>
              <w:pStyle w:val="NormalWeb"/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3816AE">
              <w:rPr>
                <w:b/>
                <w:bCs/>
                <w:color w:val="000000"/>
              </w:rPr>
              <w:t>Subthemes</w:t>
            </w:r>
          </w:p>
        </w:tc>
        <w:tc>
          <w:tcPr>
            <w:tcW w:w="4395" w:type="dxa"/>
            <w:vAlign w:val="center"/>
          </w:tcPr>
          <w:p w14:paraId="00B7ECDF" w14:textId="77777777" w:rsidR="005E67D6" w:rsidRPr="003816AE" w:rsidRDefault="005E67D6" w:rsidP="00296FC7">
            <w:pPr>
              <w:pStyle w:val="NormalWeb"/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3816AE">
              <w:rPr>
                <w:b/>
                <w:bCs/>
                <w:color w:val="000000"/>
              </w:rPr>
              <w:t>Themes</w:t>
            </w:r>
          </w:p>
        </w:tc>
      </w:tr>
      <w:tr w:rsidR="005E67D6" w14:paraId="3A166973" w14:textId="77777777" w:rsidTr="00296FC7">
        <w:trPr>
          <w:trHeight w:val="1548"/>
          <w:jc w:val="center"/>
        </w:trPr>
        <w:tc>
          <w:tcPr>
            <w:tcW w:w="963" w:type="dxa"/>
            <w:vAlign w:val="center"/>
          </w:tcPr>
          <w:p w14:paraId="42CA6A22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93" w:type="dxa"/>
            <w:vAlign w:val="center"/>
          </w:tcPr>
          <w:p w14:paraId="6A566FCE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Regulatory and ethical compliance</w:t>
            </w:r>
          </w:p>
        </w:tc>
        <w:tc>
          <w:tcPr>
            <w:tcW w:w="7687" w:type="dxa"/>
            <w:vAlign w:val="center"/>
          </w:tcPr>
          <w:p w14:paraId="110C2514" w14:textId="77777777" w:rsidR="005E67D6" w:rsidRDefault="005E67D6" w:rsidP="00296FC7">
            <w:pPr>
              <w:pStyle w:val="NormalWeb"/>
              <w:numPr>
                <w:ilvl w:val="0"/>
                <w:numId w:val="1"/>
              </w:numPr>
              <w:spacing w:line="360" w:lineRule="auto"/>
              <w:ind w:left="238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Time intensive process</w:t>
            </w:r>
          </w:p>
          <w:p w14:paraId="19F731AE" w14:textId="77777777" w:rsidR="005E67D6" w:rsidRDefault="005E67D6" w:rsidP="00296FC7">
            <w:pPr>
              <w:pStyle w:val="NormalWeb"/>
              <w:numPr>
                <w:ilvl w:val="0"/>
                <w:numId w:val="1"/>
              </w:numPr>
              <w:spacing w:line="360" w:lineRule="auto"/>
              <w:ind w:left="238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Approval process delays</w:t>
            </w:r>
          </w:p>
          <w:p w14:paraId="3B39A9A4" w14:textId="77777777" w:rsidR="005E67D6" w:rsidRDefault="005E67D6" w:rsidP="00296FC7">
            <w:pPr>
              <w:pStyle w:val="NormalWeb"/>
              <w:numPr>
                <w:ilvl w:val="0"/>
                <w:numId w:val="1"/>
              </w:numPr>
              <w:spacing w:line="360" w:lineRule="auto"/>
              <w:ind w:left="238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Data privacy and security</w:t>
            </w:r>
          </w:p>
          <w:p w14:paraId="2E2DD2B8" w14:textId="77777777" w:rsidR="005E67D6" w:rsidRDefault="005E67D6" w:rsidP="00296FC7">
            <w:pPr>
              <w:pStyle w:val="NormalWeb"/>
              <w:numPr>
                <w:ilvl w:val="0"/>
                <w:numId w:val="1"/>
              </w:numPr>
              <w:spacing w:line="360" w:lineRule="auto"/>
              <w:ind w:left="238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Inconsistency in regulations</w:t>
            </w:r>
          </w:p>
        </w:tc>
        <w:tc>
          <w:tcPr>
            <w:tcW w:w="4395" w:type="dxa"/>
            <w:vAlign w:val="center"/>
          </w:tcPr>
          <w:p w14:paraId="2EF9A407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Navigating the regulatory landscape</w:t>
            </w:r>
          </w:p>
        </w:tc>
      </w:tr>
      <w:tr w:rsidR="005E67D6" w14:paraId="2CB5CCD3" w14:textId="77777777" w:rsidTr="00296FC7">
        <w:trPr>
          <w:jc w:val="center"/>
        </w:trPr>
        <w:tc>
          <w:tcPr>
            <w:tcW w:w="963" w:type="dxa"/>
            <w:vAlign w:val="center"/>
          </w:tcPr>
          <w:p w14:paraId="08D83081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93" w:type="dxa"/>
            <w:vAlign w:val="center"/>
          </w:tcPr>
          <w:p w14:paraId="68C98287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Logistical constraints</w:t>
            </w:r>
          </w:p>
        </w:tc>
        <w:tc>
          <w:tcPr>
            <w:tcW w:w="7687" w:type="dxa"/>
            <w:vAlign w:val="center"/>
          </w:tcPr>
          <w:p w14:paraId="15A161B1" w14:textId="77777777" w:rsidR="005E67D6" w:rsidRDefault="005E67D6" w:rsidP="00296FC7">
            <w:pPr>
              <w:pStyle w:val="NormalWeb"/>
              <w:numPr>
                <w:ilvl w:val="0"/>
                <w:numId w:val="2"/>
              </w:numPr>
              <w:spacing w:line="360" w:lineRule="auto"/>
              <w:ind w:left="256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Limited availability of trained drone operators</w:t>
            </w:r>
          </w:p>
          <w:p w14:paraId="6B2D854F" w14:textId="77777777" w:rsidR="005E67D6" w:rsidRDefault="005E67D6" w:rsidP="00296FC7">
            <w:pPr>
              <w:pStyle w:val="NormalWeb"/>
              <w:numPr>
                <w:ilvl w:val="0"/>
                <w:numId w:val="2"/>
              </w:numPr>
              <w:spacing w:line="360" w:lineRule="auto"/>
              <w:ind w:left="256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Specialized drone maintenance facilities</w:t>
            </w:r>
          </w:p>
          <w:p w14:paraId="4C6028E0" w14:textId="77777777" w:rsidR="005E67D6" w:rsidRDefault="005E67D6" w:rsidP="00296FC7">
            <w:pPr>
              <w:pStyle w:val="NormalWeb"/>
              <w:numPr>
                <w:ilvl w:val="0"/>
                <w:numId w:val="2"/>
              </w:numPr>
              <w:spacing w:line="360" w:lineRule="auto"/>
              <w:ind w:left="256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Inadequate no. of drones</w:t>
            </w:r>
          </w:p>
        </w:tc>
        <w:tc>
          <w:tcPr>
            <w:tcW w:w="4395" w:type="dxa"/>
            <w:vAlign w:val="center"/>
          </w:tcPr>
          <w:p w14:paraId="200CF8E9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 w:rsidRPr="004831F9">
              <w:rPr>
                <w:color w:val="000000"/>
              </w:rPr>
              <w:t>Operation</w:t>
            </w:r>
            <w:r>
              <w:rPr>
                <w:color w:val="000000"/>
              </w:rPr>
              <w:t>al hurdles in drone d</w:t>
            </w:r>
            <w:r w:rsidRPr="004831F9">
              <w:rPr>
                <w:color w:val="000000"/>
              </w:rPr>
              <w:t>eployment</w:t>
            </w:r>
          </w:p>
        </w:tc>
      </w:tr>
      <w:tr w:rsidR="005E67D6" w14:paraId="2D357013" w14:textId="77777777" w:rsidTr="00296FC7">
        <w:trPr>
          <w:jc w:val="center"/>
        </w:trPr>
        <w:tc>
          <w:tcPr>
            <w:tcW w:w="963" w:type="dxa"/>
            <w:vAlign w:val="center"/>
          </w:tcPr>
          <w:p w14:paraId="557F8DBF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393" w:type="dxa"/>
            <w:vAlign w:val="center"/>
          </w:tcPr>
          <w:p w14:paraId="196DC316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Environmental challenges</w:t>
            </w:r>
          </w:p>
        </w:tc>
        <w:tc>
          <w:tcPr>
            <w:tcW w:w="7687" w:type="dxa"/>
            <w:vAlign w:val="center"/>
          </w:tcPr>
          <w:p w14:paraId="22E1EFA5" w14:textId="77777777" w:rsidR="005E67D6" w:rsidRDefault="005E67D6" w:rsidP="00296FC7">
            <w:pPr>
              <w:pStyle w:val="NormalWeb"/>
              <w:numPr>
                <w:ilvl w:val="0"/>
                <w:numId w:val="3"/>
              </w:numPr>
              <w:spacing w:line="360" w:lineRule="auto"/>
              <w:ind w:left="256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Weather-related disruptions</w:t>
            </w:r>
          </w:p>
          <w:p w14:paraId="50B35FD0" w14:textId="77777777" w:rsidR="005E67D6" w:rsidRPr="004831F9" w:rsidRDefault="005E67D6" w:rsidP="00296FC7">
            <w:pPr>
              <w:pStyle w:val="NormalWeb"/>
              <w:numPr>
                <w:ilvl w:val="0"/>
                <w:numId w:val="3"/>
              </w:numPr>
              <w:spacing w:line="360" w:lineRule="auto"/>
              <w:ind w:left="256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Need for weather p</w:t>
            </w:r>
            <w:r w:rsidRPr="004831F9">
              <w:rPr>
                <w:color w:val="000000"/>
              </w:rPr>
              <w:t>redicti</w:t>
            </w:r>
            <w:r>
              <w:rPr>
                <w:color w:val="000000"/>
              </w:rPr>
              <w:t>on</w:t>
            </w:r>
            <w:r w:rsidRPr="004831F9">
              <w:rPr>
                <w:color w:val="000000"/>
              </w:rPr>
              <w:t xml:space="preserve"> tools</w:t>
            </w:r>
          </w:p>
        </w:tc>
        <w:tc>
          <w:tcPr>
            <w:tcW w:w="4395" w:type="dxa"/>
            <w:vAlign w:val="center"/>
          </w:tcPr>
          <w:p w14:paraId="0C6F845C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Weather-related operational v</w:t>
            </w:r>
            <w:r w:rsidRPr="004831F9">
              <w:rPr>
                <w:color w:val="000000"/>
              </w:rPr>
              <w:t>ariability</w:t>
            </w:r>
          </w:p>
        </w:tc>
      </w:tr>
      <w:tr w:rsidR="005E67D6" w14:paraId="29BEAADC" w14:textId="77777777" w:rsidTr="00296FC7">
        <w:trPr>
          <w:jc w:val="center"/>
        </w:trPr>
        <w:tc>
          <w:tcPr>
            <w:tcW w:w="963" w:type="dxa"/>
            <w:vAlign w:val="center"/>
          </w:tcPr>
          <w:p w14:paraId="76195AA5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393" w:type="dxa"/>
            <w:vAlign w:val="center"/>
          </w:tcPr>
          <w:p w14:paraId="45B772AA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Infrastructure gaps</w:t>
            </w:r>
          </w:p>
        </w:tc>
        <w:tc>
          <w:tcPr>
            <w:tcW w:w="7687" w:type="dxa"/>
            <w:vAlign w:val="center"/>
          </w:tcPr>
          <w:p w14:paraId="29B6AE03" w14:textId="77777777" w:rsidR="005E67D6" w:rsidRDefault="005E67D6" w:rsidP="00296FC7">
            <w:pPr>
              <w:pStyle w:val="NormalWeb"/>
              <w:numPr>
                <w:ilvl w:val="0"/>
                <w:numId w:val="4"/>
              </w:numPr>
              <w:spacing w:line="360" w:lineRule="auto"/>
              <w:ind w:left="256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Connectivity/communication issues</w:t>
            </w:r>
          </w:p>
          <w:p w14:paraId="603E8327" w14:textId="77777777" w:rsidR="005E67D6" w:rsidRDefault="005E67D6" w:rsidP="00296FC7">
            <w:pPr>
              <w:pStyle w:val="NormalWeb"/>
              <w:numPr>
                <w:ilvl w:val="0"/>
                <w:numId w:val="4"/>
              </w:numPr>
              <w:spacing w:line="360" w:lineRule="auto"/>
              <w:ind w:left="256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Lack of drone infrastructures</w:t>
            </w:r>
          </w:p>
          <w:p w14:paraId="593A55BE" w14:textId="77777777" w:rsidR="005E67D6" w:rsidRDefault="005E67D6" w:rsidP="00296FC7">
            <w:pPr>
              <w:pStyle w:val="NormalWeb"/>
              <w:numPr>
                <w:ilvl w:val="0"/>
                <w:numId w:val="4"/>
              </w:numPr>
              <w:spacing w:line="360" w:lineRule="auto"/>
              <w:ind w:left="256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Integration of drones into healthcare network</w:t>
            </w:r>
          </w:p>
        </w:tc>
        <w:tc>
          <w:tcPr>
            <w:tcW w:w="4395" w:type="dxa"/>
            <w:vAlign w:val="center"/>
          </w:tcPr>
          <w:p w14:paraId="2DF84D6A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Lack of seamless connectivity between healthcare c</w:t>
            </w:r>
            <w:r w:rsidRPr="004831F9">
              <w:rPr>
                <w:color w:val="000000"/>
              </w:rPr>
              <w:t>enters</w:t>
            </w:r>
          </w:p>
        </w:tc>
      </w:tr>
      <w:tr w:rsidR="005E67D6" w14:paraId="6FC23D3B" w14:textId="77777777" w:rsidTr="00296FC7">
        <w:trPr>
          <w:jc w:val="center"/>
        </w:trPr>
        <w:tc>
          <w:tcPr>
            <w:tcW w:w="963" w:type="dxa"/>
            <w:vAlign w:val="center"/>
          </w:tcPr>
          <w:p w14:paraId="12AD7B1D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393" w:type="dxa"/>
            <w:vAlign w:val="center"/>
          </w:tcPr>
          <w:p w14:paraId="2458BC10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Stakeholder complexity</w:t>
            </w:r>
          </w:p>
        </w:tc>
        <w:tc>
          <w:tcPr>
            <w:tcW w:w="7687" w:type="dxa"/>
            <w:vAlign w:val="center"/>
          </w:tcPr>
          <w:p w14:paraId="7B3371F3" w14:textId="77777777" w:rsidR="005E67D6" w:rsidRDefault="005E67D6" w:rsidP="00296FC7">
            <w:pPr>
              <w:pStyle w:val="NormalWeb"/>
              <w:numPr>
                <w:ilvl w:val="0"/>
                <w:numId w:val="5"/>
              </w:numPr>
              <w:spacing w:line="360" w:lineRule="auto"/>
              <w:ind w:left="256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Diverging stakeholder interest</w:t>
            </w:r>
          </w:p>
          <w:p w14:paraId="7FA763B2" w14:textId="77777777" w:rsidR="005E67D6" w:rsidRDefault="005E67D6" w:rsidP="00296FC7">
            <w:pPr>
              <w:pStyle w:val="NormalWeb"/>
              <w:numPr>
                <w:ilvl w:val="0"/>
                <w:numId w:val="5"/>
              </w:numPr>
              <w:spacing w:line="360" w:lineRule="auto"/>
              <w:ind w:left="256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Common barriers between teams</w:t>
            </w:r>
          </w:p>
          <w:p w14:paraId="53A89D92" w14:textId="77777777" w:rsidR="005E67D6" w:rsidRDefault="005E67D6" w:rsidP="00296FC7">
            <w:pPr>
              <w:pStyle w:val="NormalWeb"/>
              <w:numPr>
                <w:ilvl w:val="0"/>
                <w:numId w:val="5"/>
              </w:numPr>
              <w:spacing w:line="360" w:lineRule="auto"/>
              <w:ind w:left="256" w:hanging="270"/>
              <w:jc w:val="center"/>
              <w:rPr>
                <w:color w:val="000000"/>
              </w:rPr>
            </w:pPr>
            <w:r>
              <w:rPr>
                <w:color w:val="000000"/>
              </w:rPr>
              <w:t>Consensus building challenges</w:t>
            </w:r>
          </w:p>
        </w:tc>
        <w:tc>
          <w:tcPr>
            <w:tcW w:w="4395" w:type="dxa"/>
            <w:vAlign w:val="center"/>
          </w:tcPr>
          <w:p w14:paraId="06B1D843" w14:textId="77777777" w:rsidR="005E67D6" w:rsidRDefault="005E67D6" w:rsidP="00296FC7">
            <w:pPr>
              <w:pStyle w:val="NormalWeb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Coordinating diverse stakeholder i</w:t>
            </w:r>
            <w:r w:rsidRPr="004831F9">
              <w:rPr>
                <w:color w:val="000000"/>
              </w:rPr>
              <w:t>nterests</w:t>
            </w:r>
          </w:p>
        </w:tc>
      </w:tr>
    </w:tbl>
    <w:p w14:paraId="7C5C1F96" w14:textId="12AEC0CC" w:rsidR="006774F8" w:rsidRPr="00A604EA" w:rsidRDefault="00A604EA" w:rsidP="00A604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04EA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S2: Operational Highlights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the study</w:t>
      </w:r>
    </w:p>
    <w:p w14:paraId="53FC4522" w14:textId="77777777" w:rsidR="00A604EA" w:rsidRDefault="00A604EA" w:rsidP="005E67D6"/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189"/>
        <w:gridCol w:w="3346"/>
        <w:gridCol w:w="3505"/>
        <w:gridCol w:w="2908"/>
      </w:tblGrid>
      <w:tr w:rsidR="00A604EA" w:rsidRPr="00A604EA" w14:paraId="63CEC64B" w14:textId="77777777" w:rsidTr="00A604EA">
        <w:trPr>
          <w:jc w:val="center"/>
        </w:trPr>
        <w:tc>
          <w:tcPr>
            <w:tcW w:w="0" w:type="auto"/>
            <w:vAlign w:val="center"/>
            <w:hideMark/>
          </w:tcPr>
          <w:p w14:paraId="079FD322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Metric</w:t>
            </w:r>
          </w:p>
        </w:tc>
        <w:tc>
          <w:tcPr>
            <w:tcW w:w="0" w:type="auto"/>
            <w:vAlign w:val="center"/>
            <w:hideMark/>
          </w:tcPr>
          <w:p w14:paraId="1973718E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Road Transport</w:t>
            </w:r>
          </w:p>
        </w:tc>
        <w:tc>
          <w:tcPr>
            <w:tcW w:w="0" w:type="auto"/>
            <w:vAlign w:val="center"/>
            <w:hideMark/>
          </w:tcPr>
          <w:p w14:paraId="7CD822E2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Drone Transport</w:t>
            </w:r>
          </w:p>
        </w:tc>
        <w:tc>
          <w:tcPr>
            <w:tcW w:w="0" w:type="auto"/>
            <w:vAlign w:val="center"/>
            <w:hideMark/>
          </w:tcPr>
          <w:p w14:paraId="0ABF3130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Improvement</w:t>
            </w:r>
          </w:p>
        </w:tc>
      </w:tr>
      <w:tr w:rsidR="00A604EA" w:rsidRPr="00A604EA" w14:paraId="52119930" w14:textId="77777777" w:rsidTr="00A604EA">
        <w:trPr>
          <w:jc w:val="center"/>
        </w:trPr>
        <w:tc>
          <w:tcPr>
            <w:tcW w:w="0" w:type="auto"/>
            <w:vAlign w:val="center"/>
            <w:hideMark/>
          </w:tcPr>
          <w:p w14:paraId="0E9A0C82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Distance</w:t>
            </w:r>
          </w:p>
        </w:tc>
        <w:tc>
          <w:tcPr>
            <w:tcW w:w="0" w:type="auto"/>
            <w:vAlign w:val="center"/>
            <w:hideMark/>
          </w:tcPr>
          <w:p w14:paraId="46DE81DC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37 km (road)</w:t>
            </w:r>
          </w:p>
        </w:tc>
        <w:tc>
          <w:tcPr>
            <w:tcW w:w="0" w:type="auto"/>
            <w:vAlign w:val="center"/>
            <w:hideMark/>
          </w:tcPr>
          <w:p w14:paraId="6128BC52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25.4 km (aerial)</w:t>
            </w:r>
          </w:p>
        </w:tc>
        <w:tc>
          <w:tcPr>
            <w:tcW w:w="0" w:type="auto"/>
            <w:vAlign w:val="center"/>
            <w:hideMark/>
          </w:tcPr>
          <w:p w14:paraId="72CD891A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-31%</w:t>
            </w:r>
          </w:p>
        </w:tc>
      </w:tr>
      <w:tr w:rsidR="00A604EA" w:rsidRPr="00A604EA" w14:paraId="1C0BB938" w14:textId="77777777" w:rsidTr="00A604EA">
        <w:trPr>
          <w:jc w:val="center"/>
        </w:trPr>
        <w:tc>
          <w:tcPr>
            <w:tcW w:w="0" w:type="auto"/>
            <w:vAlign w:val="center"/>
            <w:hideMark/>
          </w:tcPr>
          <w:p w14:paraId="082EB243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14:paraId="0279766E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50-60 min</w:t>
            </w:r>
          </w:p>
        </w:tc>
        <w:tc>
          <w:tcPr>
            <w:tcW w:w="0" w:type="auto"/>
            <w:vAlign w:val="center"/>
            <w:hideMark/>
          </w:tcPr>
          <w:p w14:paraId="08C11562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21 min</w:t>
            </w:r>
          </w:p>
        </w:tc>
        <w:tc>
          <w:tcPr>
            <w:tcW w:w="0" w:type="auto"/>
            <w:vAlign w:val="center"/>
            <w:hideMark/>
          </w:tcPr>
          <w:p w14:paraId="725E05A6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-65%</w:t>
            </w:r>
          </w:p>
        </w:tc>
      </w:tr>
      <w:tr w:rsidR="00A604EA" w:rsidRPr="00A604EA" w14:paraId="75C44354" w14:textId="77777777" w:rsidTr="00A604EA">
        <w:trPr>
          <w:jc w:val="center"/>
        </w:trPr>
        <w:tc>
          <w:tcPr>
            <w:tcW w:w="0" w:type="auto"/>
            <w:vAlign w:val="center"/>
            <w:hideMark/>
          </w:tcPr>
          <w:p w14:paraId="08CD50B8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Temperature Stability</w:t>
            </w:r>
          </w:p>
        </w:tc>
        <w:tc>
          <w:tcPr>
            <w:tcW w:w="0" w:type="auto"/>
            <w:vAlign w:val="center"/>
            <w:hideMark/>
          </w:tcPr>
          <w:p w14:paraId="479E5F3C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21B86A13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100% (2-8°C)</w:t>
            </w:r>
          </w:p>
        </w:tc>
        <w:tc>
          <w:tcPr>
            <w:tcW w:w="0" w:type="auto"/>
            <w:vAlign w:val="center"/>
            <w:hideMark/>
          </w:tcPr>
          <w:p w14:paraId="3ACA163F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Maintained</w:t>
            </w:r>
          </w:p>
        </w:tc>
      </w:tr>
      <w:tr w:rsidR="00A604EA" w:rsidRPr="00A604EA" w14:paraId="5BBDB057" w14:textId="77777777" w:rsidTr="00A604EA">
        <w:trPr>
          <w:jc w:val="center"/>
        </w:trPr>
        <w:tc>
          <w:tcPr>
            <w:tcW w:w="0" w:type="auto"/>
            <w:vAlign w:val="center"/>
            <w:hideMark/>
          </w:tcPr>
          <w:p w14:paraId="0557E28F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BVLOS Success Rate</w:t>
            </w:r>
          </w:p>
        </w:tc>
        <w:tc>
          <w:tcPr>
            <w:tcW w:w="0" w:type="auto"/>
            <w:vAlign w:val="center"/>
            <w:hideMark/>
          </w:tcPr>
          <w:p w14:paraId="179B30F0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37B12860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21/21 (100%)</w:t>
            </w:r>
          </w:p>
        </w:tc>
        <w:tc>
          <w:tcPr>
            <w:tcW w:w="0" w:type="auto"/>
            <w:vAlign w:val="center"/>
            <w:hideMark/>
          </w:tcPr>
          <w:p w14:paraId="2266C5C4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Demonstrated</w:t>
            </w:r>
          </w:p>
        </w:tc>
      </w:tr>
      <w:tr w:rsidR="00A604EA" w:rsidRPr="00A604EA" w14:paraId="49E67047" w14:textId="77777777" w:rsidTr="00A604EA">
        <w:trPr>
          <w:jc w:val="center"/>
        </w:trPr>
        <w:tc>
          <w:tcPr>
            <w:tcW w:w="0" w:type="auto"/>
            <w:vAlign w:val="center"/>
            <w:hideMark/>
          </w:tcPr>
          <w:p w14:paraId="1722E608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Regulatory Timeline</w:t>
            </w:r>
          </w:p>
        </w:tc>
        <w:tc>
          <w:tcPr>
            <w:tcW w:w="0" w:type="auto"/>
            <w:vAlign w:val="center"/>
            <w:hideMark/>
          </w:tcPr>
          <w:p w14:paraId="30DF6E04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068C5045" w14:textId="278DF765" w:rsidR="00A604EA" w:rsidRPr="00A604EA" w:rsidRDefault="00FE5591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months</w:t>
            </w:r>
          </w:p>
        </w:tc>
        <w:tc>
          <w:tcPr>
            <w:tcW w:w="0" w:type="auto"/>
            <w:vAlign w:val="center"/>
            <w:hideMark/>
          </w:tcPr>
          <w:p w14:paraId="4FF01F1D" w14:textId="77777777" w:rsidR="00A604EA" w:rsidRPr="00A604EA" w:rsidRDefault="00A604EA" w:rsidP="00A604E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4EA">
              <w:rPr>
                <w:rFonts w:ascii="Times New Roman" w:hAnsi="Times New Roman" w:cs="Times New Roman"/>
                <w:sz w:val="24"/>
                <w:szCs w:val="24"/>
              </w:rPr>
              <w:t>Achieved</w:t>
            </w:r>
          </w:p>
        </w:tc>
      </w:tr>
    </w:tbl>
    <w:p w14:paraId="45F85B6E" w14:textId="77777777" w:rsidR="00A604EA" w:rsidRDefault="00A604EA" w:rsidP="005E67D6"/>
    <w:sectPr w:rsidR="00A604EA" w:rsidSect="005E67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51464"/>
    <w:multiLevelType w:val="hybridMultilevel"/>
    <w:tmpl w:val="AF18D0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F2516"/>
    <w:multiLevelType w:val="hybridMultilevel"/>
    <w:tmpl w:val="ABEACA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C6EC5"/>
    <w:multiLevelType w:val="hybridMultilevel"/>
    <w:tmpl w:val="61AA42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105C39"/>
    <w:multiLevelType w:val="hybridMultilevel"/>
    <w:tmpl w:val="65480F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02DF0"/>
    <w:multiLevelType w:val="hybridMultilevel"/>
    <w:tmpl w:val="D0F4BD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475806">
    <w:abstractNumId w:val="3"/>
  </w:num>
  <w:num w:numId="2" w16cid:durableId="62415829">
    <w:abstractNumId w:val="0"/>
  </w:num>
  <w:num w:numId="3" w16cid:durableId="1806773916">
    <w:abstractNumId w:val="2"/>
  </w:num>
  <w:num w:numId="4" w16cid:durableId="25453504">
    <w:abstractNumId w:val="1"/>
  </w:num>
  <w:num w:numId="5" w16cid:durableId="961719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7D6"/>
    <w:rsid w:val="005E67D6"/>
    <w:rsid w:val="006774F8"/>
    <w:rsid w:val="00A54DDB"/>
    <w:rsid w:val="00A604EA"/>
    <w:rsid w:val="00D660C3"/>
    <w:rsid w:val="00FE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42145D"/>
  <w15:chartTrackingRefBased/>
  <w15:docId w15:val="{60FBDA09-3E9F-40A3-9A24-242BB6DE7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7D6"/>
  </w:style>
  <w:style w:type="paragraph" w:styleId="Heading1">
    <w:name w:val="heading 1"/>
    <w:basedOn w:val="Normal"/>
    <w:next w:val="Normal"/>
    <w:link w:val="Heading1Char"/>
    <w:uiPriority w:val="9"/>
    <w:qFormat/>
    <w:rsid w:val="005E67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6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7D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67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67D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67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67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67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67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67D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67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7D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67D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67D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67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67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67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67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67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6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67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67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67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67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67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67D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7D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7D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67D6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5E6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E67D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n-GB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Kuldeep Nigam</dc:creator>
  <cp:keywords/>
  <dc:description/>
  <cp:lastModifiedBy>Kuldeep Nigam</cp:lastModifiedBy>
  <cp:revision>3</cp:revision>
  <dcterms:created xsi:type="dcterms:W3CDTF">2026-02-13T05:15:00Z</dcterms:created>
  <dcterms:modified xsi:type="dcterms:W3CDTF">2026-02-13T05:15:00Z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fefc219c-f9c3-4a90-86bd-6259341e32bf</vt:lpwstr>
  </property>
</Properties>
</file>