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Figure 1.</w:t>
      </w:r>
      <w:r w:rsidDel="00000000" w:rsidR="00000000" w:rsidRPr="00000000">
        <w:rPr>
          <w:rtl w:val="0"/>
        </w:rPr>
        <w:t xml:space="preserve"> Model P benchmark for clinical, orthogonal, exon/ shallow intronic and deep intronic variants. </w:t>
      </w:r>
      <w:r w:rsidDel="00000000" w:rsidR="00000000" w:rsidRPr="00000000">
        <w:rPr>
          <w:b w:val="1"/>
          <w:bCs w:val="1"/>
          <w:rtl w:val="0"/>
        </w:rPr>
        <w:t xml:space="preserve">(A)</w:t>
      </w:r>
      <w:r w:rsidDel="00000000" w:rsidR="00000000" w:rsidRPr="00000000">
        <w:rPr>
          <w:rtl w:val="0"/>
        </w:rPr>
        <w:t xml:space="preserve"> AUC-PR curves. </w:t>
      </w:r>
      <w:r w:rsidDel="00000000" w:rsidR="00000000" w:rsidRPr="00000000">
        <w:rPr>
          <w:b w:val="1"/>
          <w:bCs w:val="1"/>
          <w:rtl w:val="0"/>
        </w:rPr>
        <w:t xml:space="preserve">(B) </w:t>
      </w:r>
      <w:r w:rsidDel="00000000" w:rsidR="00000000" w:rsidRPr="00000000">
        <w:rPr>
          <w:rtl w:val="0"/>
        </w:rPr>
        <w:t xml:space="preserve">Venn diagram of true positive variants identified by Model P and SpliceAI using 5kbp sequence context. </w:t>
      </w:r>
      <w:r w:rsidDel="00000000" w:rsidR="00000000" w:rsidRPr="00000000">
        <w:rPr>
          <w:b w:val="1"/>
          <w:bCs w:val="1"/>
          <w:rtl w:val="0"/>
        </w:rPr>
        <w:t xml:space="preserve">(C) </w:t>
      </w:r>
      <w:r w:rsidDel="00000000" w:rsidR="00000000" w:rsidRPr="00000000">
        <w:rPr>
          <w:rtl w:val="0"/>
        </w:rPr>
        <w:t xml:space="preserve">Venn diagram of true positive variants identified by Model P using 5kbp sequence context and AlphaGenome using 1Mbp sequence context.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Figure 2.</w:t>
      </w:r>
      <w:r w:rsidDel="00000000" w:rsidR="00000000" w:rsidRPr="00000000">
        <w:rPr>
          <w:rtl w:val="0"/>
        </w:rPr>
        <w:t xml:space="preserve"> Plots for </w:t>
      </w:r>
      <w:r w:rsidDel="00000000" w:rsidR="00000000" w:rsidRPr="00000000">
        <w:rPr>
          <w:i w:val="1"/>
          <w:iCs w:val="1"/>
          <w:rtl w:val="0"/>
        </w:rPr>
        <w:t xml:space="preserve">FAS </w:t>
      </w:r>
      <w:r w:rsidDel="00000000" w:rsidR="00000000" w:rsidRPr="00000000">
        <w:rPr>
          <w:rtl w:val="0"/>
        </w:rPr>
        <w:t xml:space="preserve">analyses. </w:t>
      </w:r>
      <w:r w:rsidDel="00000000" w:rsidR="00000000" w:rsidRPr="00000000">
        <w:rPr>
          <w:b w:val="1"/>
          <w:bCs w:val="1"/>
          <w:rtl w:val="0"/>
        </w:rPr>
        <w:t xml:space="preserve">(A) </w:t>
      </w:r>
      <w:r w:rsidDel="00000000" w:rsidR="00000000" w:rsidRPr="00000000">
        <w:rPr>
          <w:rtl w:val="0"/>
        </w:rPr>
        <w:t xml:space="preserve">Scatterplot of delta score of the haplotype (combination of SNPs; Y-axis) against the sum of delta scores from individual SNPs in the same variant combination (X-axis) for the </w:t>
      </w:r>
      <w:r w:rsidDel="00000000" w:rsidR="00000000" w:rsidRPr="00000000">
        <w:rPr>
          <w:i w:val="1"/>
          <w:iCs w:val="1"/>
          <w:rtl w:val="0"/>
        </w:rPr>
        <w:t xml:space="preserve">FAS </w:t>
      </w:r>
      <w:r w:rsidDel="00000000" w:rsidR="00000000" w:rsidRPr="00000000">
        <w:rPr>
          <w:rtl w:val="0"/>
        </w:rPr>
        <w:t xml:space="preserve">minigene (top) acceptor and (bottom) donor site. </w:t>
      </w:r>
      <w:r w:rsidDel="00000000" w:rsidR="00000000" w:rsidRPr="00000000">
        <w:rPr>
          <w:b w:val="1"/>
          <w:bCs w:val="1"/>
          <w:rtl w:val="0"/>
        </w:rPr>
        <w:t xml:space="preserve">(B) </w:t>
      </w:r>
      <w:r w:rsidDel="00000000" w:rsidR="00000000" w:rsidRPr="00000000">
        <w:rPr>
          <w:rtl w:val="0"/>
        </w:rPr>
        <w:t xml:space="preserve">Single genetic variant predictions by conventional splice site probability algorithms. The experimental PSI from the </w:t>
      </w:r>
      <w:r w:rsidDel="00000000" w:rsidR="00000000" w:rsidRPr="00000000">
        <w:rPr>
          <w:i w:val="1"/>
          <w:iCs w:val="1"/>
          <w:rtl w:val="0"/>
        </w:rPr>
        <w:t xml:space="preserve">FAS </w:t>
      </w:r>
      <w:r w:rsidDel="00000000" w:rsidR="00000000" w:rsidRPr="00000000">
        <w:rPr>
          <w:rtl w:val="0"/>
        </w:rPr>
        <w:t xml:space="preserve">minigenes Baeza-Centurion et al., 2019) is plotted against the predicted acceptor (left column) and donor (right column) probabilities for SpliceAI (first row) and CI-SpliceAI (second row). Data points are colored based on the genotype (color legend is located on the right). The R</w:t>
      </w:r>
      <w:r w:rsidDel="00000000" w:rsidR="00000000" w:rsidRPr="00000000">
        <w:rPr>
          <w:vertAlign w:val="superscript"/>
          <w:rtl w:val="0"/>
        </w:rPr>
        <w:t xml:space="preserve">2 </w:t>
      </w:r>
      <w:r w:rsidDel="00000000" w:rsidR="00000000" w:rsidRPr="00000000">
        <w:rPr>
          <w:rtl w:val="0"/>
        </w:rPr>
        <w:t xml:space="preserve">value of the linear model is computed and displayed per subplot. 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Figure 3.</w:t>
      </w:r>
      <w:r w:rsidDel="00000000" w:rsidR="00000000" w:rsidRPr="00000000">
        <w:rPr>
          <w:rtl w:val="0"/>
        </w:rPr>
        <w:t xml:space="preserve"> Identification of Novel Splice Haplotypes in </w:t>
      </w:r>
      <w:r w:rsidDel="00000000" w:rsidR="00000000" w:rsidRPr="00000000">
        <w:rPr>
          <w:i w:val="1"/>
          <w:iCs w:val="1"/>
          <w:rtl w:val="0"/>
        </w:rPr>
        <w:t xml:space="preserve">PCCB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bCs w:val="1"/>
          <w:rtl w:val="0"/>
        </w:rPr>
        <w:t xml:space="preserve">(A)</w:t>
      </w:r>
      <w:r w:rsidDel="00000000" w:rsidR="00000000" w:rsidRPr="00000000">
        <w:rPr>
          <w:rtl w:val="0"/>
        </w:rPr>
        <w:t xml:space="preserve"> PE6 max delta score, </w:t>
      </w:r>
      <w:r w:rsidDel="00000000" w:rsidR="00000000" w:rsidRPr="00000000">
        <w:rPr>
          <w:b w:val="1"/>
          <w:bCs w:val="1"/>
          <w:rtl w:val="0"/>
        </w:rPr>
        <w:t xml:space="preserve">(B) </w:t>
      </w:r>
      <w:r w:rsidDel="00000000" w:rsidR="00000000" w:rsidRPr="00000000">
        <w:rPr>
          <w:rtl w:val="0"/>
        </w:rPr>
        <w:t xml:space="preserve">acceptor delta score and </w:t>
      </w:r>
      <w:r w:rsidDel="00000000" w:rsidR="00000000" w:rsidRPr="00000000">
        <w:rPr>
          <w:b w:val="1"/>
          <w:bCs w:val="1"/>
          <w:rtl w:val="0"/>
        </w:rPr>
        <w:t xml:space="preserve">(C) </w:t>
      </w:r>
      <w:r w:rsidDel="00000000" w:rsidR="00000000" w:rsidRPr="00000000">
        <w:rPr>
          <w:rtl w:val="0"/>
        </w:rPr>
        <w:t xml:space="preserve">donor delta score in each of the 70 genetic backgrounds and the GRCh38 reference genome in the absence (blue bars) or presence (red bars) of c.654+462A&gt;G variant. Each of the 35 individuals contributed two haplotypes each, labeled as A and B.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Figure 4.</w:t>
      </w:r>
      <w:r w:rsidDel="00000000" w:rsidR="00000000" w:rsidRPr="00000000">
        <w:rPr>
          <w:rtl w:val="0"/>
        </w:rPr>
        <w:t xml:space="preserve"> Identification of Novel Splice Haplotypes in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bCs w:val="1"/>
          <w:rtl w:val="0"/>
        </w:rPr>
        <w:t xml:space="preserve">(A)</w:t>
      </w:r>
      <w:r w:rsidDel="00000000" w:rsidR="00000000" w:rsidRPr="00000000">
        <w:rPr>
          <w:rtl w:val="0"/>
        </w:rPr>
        <w:t xml:space="preserve"> PE5A max delta score, </w:t>
      </w:r>
      <w:r w:rsidDel="00000000" w:rsidR="00000000" w:rsidRPr="00000000">
        <w:rPr>
          <w:b w:val="1"/>
          <w:bCs w:val="1"/>
          <w:rtl w:val="0"/>
        </w:rPr>
        <w:t xml:space="preserve">(B) </w:t>
      </w:r>
      <w:r w:rsidDel="00000000" w:rsidR="00000000" w:rsidRPr="00000000">
        <w:rPr>
          <w:rtl w:val="0"/>
        </w:rPr>
        <w:t xml:space="preserve">acceptor delta score and </w:t>
      </w:r>
      <w:r w:rsidDel="00000000" w:rsidR="00000000" w:rsidRPr="00000000">
        <w:rPr>
          <w:b w:val="1"/>
          <w:bCs w:val="1"/>
          <w:rtl w:val="0"/>
        </w:rPr>
        <w:t xml:space="preserve">(C) </w:t>
      </w:r>
      <w:r w:rsidDel="00000000" w:rsidR="00000000" w:rsidRPr="00000000">
        <w:rPr>
          <w:rtl w:val="0"/>
        </w:rPr>
        <w:t xml:space="preserve">donor delta score in each of the 70 genetic backgrounds and the GRCh38 reference genome in the absence (blue bars) or presence (red bars) of c.453+521C&gt;G (Variant A). Each of the 35 individuals contributed two haplotypes each, labeled as A and B.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Figure 5.</w:t>
      </w:r>
      <w:r w:rsidDel="00000000" w:rsidR="00000000" w:rsidRPr="00000000">
        <w:rPr>
          <w:rtl w:val="0"/>
        </w:rPr>
        <w:t xml:space="preserve"> Identification of Novel Splice Haplotypes in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bCs w:val="1"/>
          <w:rtl w:val="0"/>
        </w:rPr>
        <w:t xml:space="preserve">(A)</w:t>
      </w:r>
      <w:r w:rsidDel="00000000" w:rsidR="00000000" w:rsidRPr="00000000">
        <w:rPr>
          <w:rtl w:val="0"/>
        </w:rPr>
        <w:t xml:space="preserve"> PE5B max delta score, </w:t>
      </w:r>
      <w:r w:rsidDel="00000000" w:rsidR="00000000" w:rsidRPr="00000000">
        <w:rPr>
          <w:b w:val="1"/>
          <w:bCs w:val="1"/>
          <w:rtl w:val="0"/>
        </w:rPr>
        <w:t xml:space="preserve">(B) </w:t>
      </w:r>
      <w:r w:rsidDel="00000000" w:rsidR="00000000" w:rsidRPr="00000000">
        <w:rPr>
          <w:rtl w:val="0"/>
        </w:rPr>
        <w:t xml:space="preserve">acceptor delta score and </w:t>
      </w:r>
      <w:r w:rsidDel="00000000" w:rsidR="00000000" w:rsidRPr="00000000">
        <w:rPr>
          <w:b w:val="1"/>
          <w:bCs w:val="1"/>
          <w:rtl w:val="0"/>
        </w:rPr>
        <w:t xml:space="preserve">(C) </w:t>
      </w:r>
      <w:r w:rsidDel="00000000" w:rsidR="00000000" w:rsidRPr="00000000">
        <w:rPr>
          <w:rtl w:val="0"/>
        </w:rPr>
        <w:t xml:space="preserve">donor delta score in each of the 70 genetic backgrounds and the GRCh38 reference genome in the absence (blue bars) or presence (red bars) of c.453+566A&gt;G (Variant B). Each of the 35 individuals contributed two haplotypes each, labeled as A and B.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Figure 6. </w:t>
      </w:r>
      <w:r w:rsidDel="00000000" w:rsidR="00000000" w:rsidRPr="00000000">
        <w:rPr>
          <w:rtl w:val="0"/>
        </w:rPr>
        <w:t xml:space="preserve">Minigene splicing assay for </w:t>
      </w:r>
      <w:r w:rsidDel="00000000" w:rsidR="00000000" w:rsidRPr="00000000">
        <w:rPr>
          <w:i w:val="1"/>
          <w:iCs w:val="1"/>
          <w:rtl w:val="0"/>
        </w:rPr>
        <w:t xml:space="preserve">MLH1 </w:t>
      </w:r>
      <w:r w:rsidDel="00000000" w:rsidR="00000000" w:rsidRPr="00000000">
        <w:rPr>
          <w:rtl w:val="0"/>
        </w:rPr>
        <w:t xml:space="preserve">for 293T. Experimental PSI was plotted against each genotype. The statistical analysis performed is the one-way ANOVA with Tukey’s multiple comparison test with a single pooled variance.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Figure 7. </w:t>
      </w:r>
      <w:r w:rsidDel="00000000" w:rsidR="00000000" w:rsidRPr="00000000">
        <w:rPr>
          <w:rtl w:val="0"/>
        </w:rPr>
        <w:t xml:space="preserve">Gel images for minigene splicing assay </w:t>
      </w:r>
      <w:r w:rsidDel="00000000" w:rsidR="00000000" w:rsidRPr="00000000">
        <w:rPr>
          <w:rtl w:val="0"/>
        </w:rPr>
        <w:t xml:space="preserve">in 293T cells for </w:t>
      </w:r>
      <w:r w:rsidDel="00000000" w:rsidR="00000000" w:rsidRPr="00000000">
        <w:rPr>
          <w:i w:val="1"/>
          <w:iCs w:val="1"/>
          <w:rtl w:val="0"/>
        </w:rPr>
        <w:t xml:space="preserve">PCCB </w:t>
      </w:r>
      <w:r w:rsidDel="00000000" w:rsidR="00000000" w:rsidRPr="00000000">
        <w:rPr>
          <w:rtl w:val="0"/>
        </w:rPr>
        <w:t xml:space="preserve">and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. There are four technical replicates (one replicate per row is shown). For each replicate, the gel columns represent the treatment: wild-type minigene (“WT”), minigenes with single variants (</w:t>
      </w:r>
      <w:r w:rsidDel="00000000" w:rsidR="00000000" w:rsidRPr="00000000">
        <w:rPr>
          <w:i w:val="1"/>
          <w:iCs w:val="1"/>
          <w:rtl w:val="0"/>
        </w:rPr>
        <w:t xml:space="preserve">PCCB</w:t>
      </w:r>
      <w:r w:rsidDel="00000000" w:rsidR="00000000" w:rsidRPr="00000000">
        <w:rPr>
          <w:rtl w:val="0"/>
        </w:rPr>
        <w:t xml:space="preserve">: “A&gt;G” and “C&gt;CTGATGT”;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: “Variant A”, “Variant B” and “Modifier”), haplotype minigenes (</w:t>
      </w:r>
      <w:r w:rsidDel="00000000" w:rsidR="00000000" w:rsidRPr="00000000">
        <w:rPr>
          <w:i w:val="1"/>
          <w:iCs w:val="1"/>
          <w:rtl w:val="0"/>
        </w:rPr>
        <w:t xml:space="preserve">PCCB</w:t>
      </w:r>
      <w:r w:rsidDel="00000000" w:rsidR="00000000" w:rsidRPr="00000000">
        <w:rPr>
          <w:rtl w:val="0"/>
        </w:rPr>
        <w:t xml:space="preserve">: “Haplotype”;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: “Variant A + Modifier” and “Variant B + Modifier” and CHX-only (“UTR + CHX”) and untreated (“UTR”). Blue arrows mark the gel position of the wild-type band without pseudoexon while the red arrows show the bands with the pseudoexon inclusion.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Figure 8. </w:t>
      </w:r>
      <w:r w:rsidDel="00000000" w:rsidR="00000000" w:rsidRPr="00000000">
        <w:rPr>
          <w:rtl w:val="0"/>
        </w:rPr>
        <w:t xml:space="preserve">Gel images for minigene splicing assay in Huh7 cells for </w:t>
      </w:r>
      <w:r w:rsidDel="00000000" w:rsidR="00000000" w:rsidRPr="00000000">
        <w:rPr>
          <w:i w:val="1"/>
          <w:iCs w:val="1"/>
          <w:rtl w:val="0"/>
        </w:rPr>
        <w:t xml:space="preserve">PCCB </w:t>
      </w:r>
      <w:r w:rsidDel="00000000" w:rsidR="00000000" w:rsidRPr="00000000">
        <w:rPr>
          <w:rtl w:val="0"/>
        </w:rPr>
        <w:t xml:space="preserve">and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. There are four technical replicates (one replicate per row is shown). For each replicate, the gel columns represent the treatment: wild-type minigene (“WT”), minigenes with single variants (</w:t>
      </w:r>
      <w:r w:rsidDel="00000000" w:rsidR="00000000" w:rsidRPr="00000000">
        <w:rPr>
          <w:i w:val="1"/>
          <w:iCs w:val="1"/>
          <w:rtl w:val="0"/>
        </w:rPr>
        <w:t xml:space="preserve">PCCB</w:t>
      </w:r>
      <w:r w:rsidDel="00000000" w:rsidR="00000000" w:rsidRPr="00000000">
        <w:rPr>
          <w:rtl w:val="0"/>
        </w:rPr>
        <w:t xml:space="preserve">: “A&gt;G” and “C&gt;CTGATGT”;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: “Variant A”, “Variant B” and “Modifier”), haplotype minigenes (</w:t>
      </w:r>
      <w:r w:rsidDel="00000000" w:rsidR="00000000" w:rsidRPr="00000000">
        <w:rPr>
          <w:i w:val="1"/>
          <w:iCs w:val="1"/>
          <w:rtl w:val="0"/>
        </w:rPr>
        <w:t xml:space="preserve">PCCB</w:t>
      </w:r>
      <w:r w:rsidDel="00000000" w:rsidR="00000000" w:rsidRPr="00000000">
        <w:rPr>
          <w:rtl w:val="0"/>
        </w:rPr>
        <w:t xml:space="preserve">: “Haplotype”;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: “Variant A + Modifier” and “Variant B + Modifier” and CHX-only (“UTR + CHX”) and untreated (“UTR”). Blue arrows mark the gel position of the wild-type band without pseudoexon while the red arrows show the bands with the pseudoexon inclusion.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