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945C2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Minimum adjacent vertebral Hounsfield unit value and paraspinal muscle fat infiltration are associated with adjacent vertebral fracture after thoracic vertebroplasty</w:t>
      </w:r>
      <w:bookmarkStart w:id="0" w:name="_GoBack"/>
      <w:bookmarkEnd w:id="0"/>
    </w:p>
    <w:p w14:paraId="6BAD58BC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9DF00F5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Kelin Li, Keyun He, Renjie Jiang, Wei Hu</w:t>
      </w:r>
    </w:p>
    <w:p w14:paraId="04D25E6A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32939F8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53E7754F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Tables</w:t>
      </w:r>
    </w:p>
    <w:p w14:paraId="1C504887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5380208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477302E7">
      <w:pPr>
        <w:jc w:val="left"/>
        <w:rPr>
          <w:rFonts w:hint="default" w:ascii="Times New Roman" w:hAnsi="Times New Roman" w:cs="Times New Roman" w:eastAsiaTheme="majorEastAsia"/>
          <w:b/>
          <w:bCs/>
          <w:sz w:val="18"/>
          <w:szCs w:val="18"/>
          <w:lang w:val="en-US" w:eastAsia="en-US" w:bidi="ar-SA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S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1. </w:t>
      </w:r>
      <w:r>
        <w:rPr>
          <w:rFonts w:hint="default" w:ascii="Times New Roman" w:hAnsi="Times New Roman" w:cs="Times New Roman" w:eastAsiaTheme="majorEastAsia"/>
          <w:b/>
          <w:bCs/>
          <w:sz w:val="18"/>
          <w:szCs w:val="18"/>
          <w:lang w:val="en-US" w:eastAsia="en-US" w:bidi="ar-SA"/>
        </w:rPr>
        <w:t>Intraclass correlation coefficients for imaging measurements</w:t>
      </w:r>
    </w:p>
    <w:p w14:paraId="4F08718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tbl>
      <w:tblPr>
        <w:tblStyle w:val="9"/>
        <w:tblW w:w="502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495"/>
        <w:gridCol w:w="915"/>
        <w:gridCol w:w="900"/>
        <w:gridCol w:w="1440"/>
        <w:gridCol w:w="1605"/>
        <w:gridCol w:w="855"/>
        <w:gridCol w:w="1354"/>
      </w:tblGrid>
      <w:tr w14:paraId="3ED4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5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B507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Measurement</w:t>
            </w:r>
          </w:p>
        </w:tc>
        <w:tc>
          <w:tcPr>
            <w:tcW w:w="4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9A1D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N</w:t>
            </w:r>
          </w:p>
        </w:tc>
        <w:tc>
          <w:tcPr>
            <w:tcW w:w="9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278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Rater 1, mean ± SD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670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Rater 2, mean ± SD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314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Single-measure ICC (95% CI)</w:t>
            </w:r>
          </w:p>
        </w:tc>
        <w:tc>
          <w:tcPr>
            <w:tcW w:w="16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238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Average-measure ICC (95% CI)</w:t>
            </w:r>
          </w:p>
        </w:tc>
        <w:tc>
          <w:tcPr>
            <w:tcW w:w="8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6CB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value</w:t>
            </w:r>
          </w:p>
        </w:tc>
        <w:tc>
          <w:tcPr>
            <w:tcW w:w="13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A713C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Interpretation</w:t>
            </w:r>
          </w:p>
        </w:tc>
      </w:tr>
      <w:tr w14:paraId="63B61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1D58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Upper adjacent HU</w:t>
            </w:r>
          </w:p>
        </w:tc>
        <w:tc>
          <w:tcPr>
            <w:tcW w:w="4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CBED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263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45C7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77.05 ± 18.75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BB26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76.39 ± 18.50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9D8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0.874 (0.843–0.900)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4D9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0.933 (0.915–0.947)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BB1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0475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Good</w:t>
            </w:r>
          </w:p>
        </w:tc>
      </w:tr>
      <w:tr w14:paraId="4F794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8A1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Lower adjacent HU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06F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3879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74.17 ± 17.92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F1DE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73.74 ± 18.42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B53F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0.873 (0.841–0.899)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105FE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0.932 (0.914–0.947)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8DB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CDE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Good</w:t>
            </w:r>
          </w:p>
        </w:tc>
      </w:tr>
      <w:tr w14:paraId="2B6FA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A52F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Paraspinal muscle fat infiltration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B4E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109A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20.14 ± 18.94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518F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20.67 ± 18.28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E6C9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0.898 (0.872–0.919)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541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0.946 (0.932–0.958)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E57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72E9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Good</w:t>
            </w:r>
          </w:p>
        </w:tc>
      </w:tr>
      <w:tr w14:paraId="52807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4D39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vertebral wedge angle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3A7C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E8B2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10.85 ± 4.92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58D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10.88 ± 5.02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CD37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0.939 (0.923–0.952)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64A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0.968 (0.960–0.975)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639E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919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Excellent</w:t>
            </w:r>
          </w:p>
        </w:tc>
      </w:tr>
      <w:tr w14:paraId="3FC85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BB1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Postoperative vertebral wedge angle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4F1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263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6FFD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7.82 ± 4.22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C10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7.80 ± 4.36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73FF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0.919 (0.897–0.936)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D162E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0.958 (0.946–0.967)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B00E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787D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Excellent</w:t>
            </w:r>
          </w:p>
        </w:tc>
      </w:tr>
    </w:tbl>
    <w:p w14:paraId="6234AA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Note. ICCs were calculated using a two-way random-effects model with absolute agreement. The single-measure ICC represents the reliability of a single observer, whereas the average-measure ICC represents the reliability of the average value of the two observers. Interpretation was based on the single-measure ICC: &lt;0.50, poor; 0.50–0.75, moderate; 0.75–0.90, good; &gt;0.90, excellent. Abbreviations: CI, confidence interval; HU, Hounsfield unit; ICC, intraclass correlation coefficient.</w:t>
      </w:r>
    </w:p>
    <w:p w14:paraId="4523E846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75F0956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5CF1834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FA094B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DCA55B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CFE6242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5CE80AC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273537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65FEDDA9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008CD5E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833C0AC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56A7804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EAF5B3E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89C16A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8CB588A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6D9F7B41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EF23FBD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CA7411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B2DFB4A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86A00C1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E0D127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1EAFF2B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822DF37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4D1A821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1F3FD6B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C81E462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A203BF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603C4C5">
      <w:pPr>
        <w:jc w:val="left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256614F7">
      <w:pPr>
        <w:jc w:val="left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S2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. Sensitivity analyses</w:t>
      </w:r>
    </w:p>
    <w:p w14:paraId="5C9E1F82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tbl>
      <w:tblPr>
        <w:tblStyle w:val="9"/>
        <w:tblW w:w="503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2799"/>
        <w:gridCol w:w="915"/>
        <w:gridCol w:w="750"/>
        <w:gridCol w:w="1494"/>
        <w:gridCol w:w="775"/>
      </w:tblGrid>
      <w:tr w14:paraId="637C1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194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Model</w:t>
            </w:r>
          </w:p>
        </w:tc>
        <w:tc>
          <w:tcPr>
            <w:tcW w:w="15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F2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W w:w="50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C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Beta</w:t>
            </w:r>
          </w:p>
        </w:tc>
        <w:tc>
          <w:tcPr>
            <w:tcW w:w="41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FD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SE</w:t>
            </w:r>
          </w:p>
        </w:tc>
        <w:tc>
          <w:tcPr>
            <w:tcW w:w="81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033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OR (95% CI)</w:t>
            </w:r>
          </w:p>
        </w:tc>
        <w:tc>
          <w:tcPr>
            <w:tcW w:w="42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AD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P value</w:t>
            </w:r>
          </w:p>
        </w:tc>
      </w:tr>
      <w:tr w14:paraId="3D331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A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Simplified model without age</w:t>
            </w:r>
          </w:p>
        </w:tc>
        <w:tc>
          <w:tcPr>
            <w:tcW w:w="15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82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Previous vertebral fracture</w:t>
            </w:r>
          </w:p>
        </w:tc>
        <w:tc>
          <w:tcPr>
            <w:tcW w:w="5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DB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0.787</w:t>
            </w:r>
          </w:p>
        </w:tc>
        <w:tc>
          <w:tcPr>
            <w:tcW w:w="41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F1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0.499</w:t>
            </w:r>
          </w:p>
        </w:tc>
        <w:tc>
          <w:tcPr>
            <w:tcW w:w="81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8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2.197 (0.827–5.83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)</w:t>
            </w:r>
          </w:p>
        </w:tc>
        <w:tc>
          <w:tcPr>
            <w:tcW w:w="42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DE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0.114</w:t>
            </w:r>
          </w:p>
        </w:tc>
      </w:tr>
      <w:tr w14:paraId="208E8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137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Simplified model without age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E7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Minimum adjacent HU / 10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907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-0.817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6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0.163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38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0.442 (0.321–0.607)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AB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28AA6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D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Simplified model without age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E8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Paraspinal muscle fat infiltration / 10%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81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0.555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9D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0.127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65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1.742 (1.359–2.232)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7B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6837C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DE3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Sensitivity model using mean adjacent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HU / 10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F4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8C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-0.052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A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F3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0.949 (0.888–1.015)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0A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0.125</w:t>
            </w:r>
          </w:p>
        </w:tc>
      </w:tr>
      <w:tr w14:paraId="1383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68E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Sensitivity model using mean adjacent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HU / 10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71C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Previous vertebral fracture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1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0.927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F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0.522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8A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2.52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(0.909–7.02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1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</w:tr>
      <w:tr w14:paraId="0FA54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A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Sensitivity model using mean adjacent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HU / 10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A8A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Mean adjacent HU / 10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561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-0.946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45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0.178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9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0.388 (0.274–0.550)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729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2AF21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83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Sensitivity model using mean adjacent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HU / 10</w:t>
            </w:r>
          </w:p>
        </w:tc>
        <w:tc>
          <w:tcPr>
            <w:tcW w:w="15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2F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Paraspinal muscle fat infiltration / 10%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C90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C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0.141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B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1.871 (1.419–2.467)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AA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</w:tbl>
    <w:p w14:paraId="1D8D37E1">
      <w:pPr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Note. Abbreviations: CI, confidence interval; HU, Hounsfield unit; OR, odds ratio; SE, standard error.</w:t>
      </w:r>
    </w:p>
    <w:p w14:paraId="1682A979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FADBF38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BAB2AFA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B25B274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D934449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7FB31AB1">
      <w:pPr>
        <w:jc w:val="left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6AEBBDBF">
      <w:pPr>
        <w:jc w:val="left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S3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. AUC comparison of models</w:t>
      </w:r>
    </w:p>
    <w:p w14:paraId="603980EA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9"/>
        <w:gridCol w:w="4287"/>
      </w:tblGrid>
      <w:tr w14:paraId="7E521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63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E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Model</w:t>
            </w:r>
          </w:p>
        </w:tc>
        <w:tc>
          <w:tcPr>
            <w:tcW w:w="236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7A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AUC</w:t>
            </w:r>
          </w:p>
        </w:tc>
      </w:tr>
      <w:tr w14:paraId="0FCA0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3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B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Main model</w:t>
            </w:r>
          </w:p>
        </w:tc>
        <w:tc>
          <w:tcPr>
            <w:tcW w:w="236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53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0.890</w:t>
            </w:r>
          </w:p>
        </w:tc>
      </w:tr>
      <w:tr w14:paraId="54AB3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7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Simplified model without age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36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0.887</w:t>
            </w:r>
          </w:p>
        </w:tc>
      </w:tr>
      <w:tr w14:paraId="05660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29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Sensitivity model using mean adjacent HU / 10</w:t>
            </w:r>
          </w:p>
        </w:tc>
        <w:tc>
          <w:tcPr>
            <w:tcW w:w="236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119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0.893</w:t>
            </w:r>
          </w:p>
        </w:tc>
      </w:tr>
    </w:tbl>
    <w:p w14:paraId="2E6D44E6">
      <w:pPr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Note. Sensitivity analyses included a simplified model without age and a model using mean adjacent HU / 10 instead of minimum adjacent HU / 10. Abbreviations: AUC, area under the curve; HU, Hounsfield unit.</w:t>
      </w:r>
    </w:p>
    <w:p w14:paraId="335DDA2B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7E0CE6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4A5360FC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5032331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9CB2C9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46E03BEB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8475CB8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54F421E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A4B62C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A9D802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44C06245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6C79B3A0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2C9A25A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6972E08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F474922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439932B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DFFBF1B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1399209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4C2FBF01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87C6A8A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D1DA6D3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C519916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003A7126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607C4080">
      <w:pPr>
        <w:jc w:val="left"/>
      </w:pPr>
      <w:r>
        <w:rPr>
          <w:rFonts w:ascii="Times New Roman" w:hAnsi="Times New Roman" w:eastAsia="Times New Roman"/>
          <w:b/>
          <w:sz w:val="22"/>
        </w:rPr>
        <w:t>Supplementary Table S</w:t>
      </w:r>
      <w:r>
        <w:rPr>
          <w:rFonts w:hint="eastAsia" w:ascii="Times New Roman" w:hAnsi="Times New Roman" w:eastAsia="宋体"/>
          <w:b/>
          <w:sz w:val="22"/>
          <w:lang w:val="en-US" w:eastAsia="zh-CN"/>
        </w:rPr>
        <w:t>4</w:t>
      </w:r>
      <w:r>
        <w:rPr>
          <w:rFonts w:ascii="Times New Roman" w:hAnsi="Times New Roman" w:eastAsia="Times New Roman"/>
          <w:b/>
          <w:sz w:val="22"/>
        </w:rPr>
        <w:t>. Sensitivity analysis excluding T11 and T12 fractures</w:t>
      </w:r>
    </w:p>
    <w:tbl>
      <w:tblPr>
        <w:tblStyle w:val="9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905"/>
        <w:gridCol w:w="1545"/>
        <w:gridCol w:w="1095"/>
        <w:gridCol w:w="1395"/>
        <w:gridCol w:w="1527"/>
      </w:tblGrid>
      <w:tr w14:paraId="22D08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D185CA4">
            <w:pPr>
              <w:spacing w:before="0" w:after="0" w:line="252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>Model</w:t>
            </w:r>
          </w:p>
        </w:tc>
        <w:tc>
          <w:tcPr>
            <w:tcW w:w="1050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3DC75ED">
            <w:pPr>
              <w:spacing w:before="0" w:after="0" w:line="252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>Variable</w:t>
            </w:r>
          </w:p>
        </w:tc>
        <w:tc>
          <w:tcPr>
            <w:tcW w:w="85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089391A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>OR (95% CI)</w:t>
            </w:r>
          </w:p>
        </w:tc>
        <w:tc>
          <w:tcPr>
            <w:tcW w:w="60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0286854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>P value</w:t>
            </w:r>
          </w:p>
        </w:tc>
        <w:tc>
          <w:tcPr>
            <w:tcW w:w="76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8DC0AE4">
            <w:pPr>
              <w:spacing w:before="0" w:after="0" w:line="252" w:lineRule="auto"/>
              <w:jc w:val="both"/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 xml:space="preserve">Apparent AUC </w:t>
            </w:r>
          </w:p>
          <w:p w14:paraId="417894CF">
            <w:pPr>
              <w:spacing w:before="0" w:after="0" w:line="252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>(95% CI)</w:t>
            </w:r>
          </w:p>
        </w:tc>
        <w:tc>
          <w:tcPr>
            <w:tcW w:w="84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83D69A5">
            <w:pPr>
              <w:spacing w:before="0" w:after="0" w:line="252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z w:val="18"/>
                <w:szCs w:val="18"/>
              </w:rPr>
              <w:t>Optimism-corrected AUC</w:t>
            </w:r>
          </w:p>
        </w:tc>
      </w:tr>
      <w:tr w14:paraId="77728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0EC8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Four-variable model excluding T11 and T12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680B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Age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7D59D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0.940 (0.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803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1.100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355B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0.438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E6262">
            <w:pPr>
              <w:spacing w:before="0" w:after="0" w:line="252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0.938</w:t>
            </w:r>
          </w:p>
          <w:p w14:paraId="3C214B54">
            <w:pPr>
              <w:spacing w:before="0" w:after="0" w:line="252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(0.871–1.000)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D2AB">
            <w:pPr>
              <w:spacing w:before="0" w:after="0" w:line="252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6700F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6E64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DACB9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Previous vertebral fracture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ABDA6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5.247 (0.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888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30.984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79DC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0.067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6215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7E1D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AE69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A8B1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858F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Minimum adjacent HU / 10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BFCF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0.193 (0.077–0.481)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A8C32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&lt;0.001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2178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64B1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AE6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9966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9BFC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Paraspinal muscle fat infiltration / 10%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7800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1.921 (1.024–3.603)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4296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0.042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827A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AED9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ED71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517B7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Three-variable model excluding T11 and T12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2A663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Previous vertebral fracture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936D1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4.823 (0.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854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27.229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0BE7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0.075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EE27C">
            <w:pPr>
              <w:spacing w:before="0" w:after="0" w:line="252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0.940</w:t>
            </w:r>
          </w:p>
          <w:p w14:paraId="77DA9032">
            <w:pPr>
              <w:spacing w:before="0" w:after="0" w:line="252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(0.872–1.000)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5F240">
            <w:pPr>
              <w:spacing w:before="0" w:after="0" w:line="252" w:lineRule="auto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8</w:t>
            </w:r>
          </w:p>
        </w:tc>
      </w:tr>
      <w:tr w14:paraId="6DAD9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0C92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6DA9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Minimum adjacent HU / 10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57DA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0.192 (0.0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–0.4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1E04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&lt;0.001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A421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B3933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B852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B2E0BF1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E341E52">
            <w:pPr>
              <w:spacing w:before="0" w:after="0" w:line="252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Paraspinal muscle fat infiltration / 10%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29D1A7E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1.727 (1.0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z w:val="18"/>
                <w:szCs w:val="18"/>
                <w:lang w:val="en-US" w:eastAsia="zh-CN"/>
              </w:rPr>
              <w:t>2.934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)</w:t>
            </w:r>
          </w:p>
        </w:tc>
        <w:tc>
          <w:tcPr>
            <w:tcW w:w="603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488AA8F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z w:val="18"/>
                <w:szCs w:val="18"/>
              </w:rPr>
              <w:t>0.043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89AA5D6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8BA935B">
            <w:pPr>
              <w:spacing w:before="0" w:after="0" w:line="252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 w14:paraId="622B533D">
      <w:pPr>
        <w:jc w:val="left"/>
        <w:rPr>
          <w:sz w:val="18"/>
          <w:szCs w:val="18"/>
        </w:rPr>
      </w:pPr>
      <w:r>
        <w:rPr>
          <w:rFonts w:ascii="Times New Roman" w:hAnsi="Times New Roman" w:eastAsia="Times New Roman"/>
          <w:sz w:val="18"/>
          <w:szCs w:val="18"/>
        </w:rPr>
        <w:t>N</w:t>
      </w:r>
      <w:r>
        <w:rPr>
          <w:rFonts w:hint="eastAsia" w:ascii="Times New Roman" w:hAnsi="Times New Roman" w:eastAsia="Times New Roman"/>
          <w:sz w:val="18"/>
          <w:szCs w:val="18"/>
        </w:rPr>
        <w:t>ote. After excluding T11 and T12 fractures, 84 patients remained in the sensitivity-analysis cohort, including 16 patients with adjacent vertebral fracture. The four-variable model included age, previous vertebral fracture, minimum adjacent HU / 10, and paraspinal muscle fat infiltration / 10%. The three-variable model excluded age. Bootstrap internal validation was performed using 1000 resamples. Abbreviations: AUC, area under the curve; CI, confidence interval; HU, Hounsfield unit; OR, odds ratio.</w:t>
      </w:r>
    </w:p>
    <w:p w14:paraId="79AA73A5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5ABCB7C0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2B3151AE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15C5CEA2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 w14:paraId="334FF94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18"/>
          <w:szCs w:val="18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18"/>
          <w:szCs w:val="18"/>
          <w:lang w:val="en-US" w:eastAsia="en-US" w:bidi="ar-SA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  <w:lang w:val="en-US" w:eastAsia="zh-CN" w:bidi="ar-SA"/>
        </w:rPr>
        <w:t>5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18"/>
          <w:szCs w:val="18"/>
          <w:lang w:val="en-US" w:eastAsia="en-US" w:bidi="ar-SA"/>
        </w:rPr>
        <w:t>. Multicollinearity assessment of the final model</w:t>
      </w:r>
    </w:p>
    <w:p w14:paraId="73C4B6B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18"/>
          <w:szCs w:val="18"/>
          <w:lang w:val="en-US" w:eastAsia="en-US" w:bidi="ar-SA"/>
        </w:rPr>
      </w:pPr>
    </w:p>
    <w:tbl>
      <w:tblPr>
        <w:tblStyle w:val="9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1"/>
        <w:gridCol w:w="2391"/>
        <w:gridCol w:w="3429"/>
      </w:tblGrid>
      <w:tr w14:paraId="0B7C3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553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Variable</w:t>
            </w:r>
          </w:p>
        </w:tc>
        <w:tc>
          <w:tcPr>
            <w:tcW w:w="23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00B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VIF</w:t>
            </w:r>
          </w:p>
        </w:tc>
        <w:tc>
          <w:tcPr>
            <w:tcW w:w="34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B56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Interpretation</w:t>
            </w:r>
          </w:p>
        </w:tc>
      </w:tr>
      <w:tr w14:paraId="4C0FB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FF9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Age</w:t>
            </w:r>
          </w:p>
        </w:tc>
        <w:tc>
          <w:tcPr>
            <w:tcW w:w="23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A6EC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1.235</w:t>
            </w:r>
          </w:p>
        </w:tc>
        <w:tc>
          <w:tcPr>
            <w:tcW w:w="34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E805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No meaningful multicollinearity</w:t>
            </w:r>
          </w:p>
        </w:tc>
      </w:tr>
      <w:tr w14:paraId="5732C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C9C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Previous vertebral fracture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C597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1.062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FF4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No meaningful multicollinearity</w:t>
            </w:r>
          </w:p>
        </w:tc>
      </w:tr>
      <w:tr w14:paraId="22567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D1E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Minimum adjacent HU / 10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6AD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1.083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1277E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No meaningful multicollinearity</w:t>
            </w:r>
          </w:p>
        </w:tc>
      </w:tr>
      <w:tr w14:paraId="0B68B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B7B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Paraspinal muscle fat infiltration / 10%</w:t>
            </w:r>
          </w:p>
        </w:tc>
        <w:tc>
          <w:tcPr>
            <w:tcW w:w="23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E2DD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1.224</w:t>
            </w:r>
          </w:p>
        </w:tc>
        <w:tc>
          <w:tcPr>
            <w:tcW w:w="34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6868D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No meaningful multicollinearity</w:t>
            </w:r>
          </w:p>
        </w:tc>
      </w:tr>
    </w:tbl>
    <w:p w14:paraId="4D1E42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default" w:ascii="Times New Roman" w:hAnsi="Times New Roman" w:cs="Times New Roman"/>
          <w:sz w:val="18"/>
          <w:szCs w:val="18"/>
        </w:rPr>
        <w:t>Note. VIF, variance inflation factor. A VIF value below 5 was considered to indicate no meaningful multicollinearity. Spearman correlation coefficients among continuous predictors were as follows: age and minimum adjacent HU / 10, r = -0.350; age and paraspinal muscle fat infiltration / 10%, r = 0.372; minimum adjacent HU / 10 and paraspinal muscle fat infiltration / 10%, r = -0.413.</w:t>
      </w:r>
    </w:p>
    <w:sectPr>
      <w:type w:val="continuous"/>
      <w:pgSz w:w="11900" w:h="16840"/>
      <w:pgMar w:top="1417" w:right="1417" w:bottom="1417" w:left="1417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5A2D64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2480918"/>
    <w:rsid w:val="02BC17B1"/>
    <w:rsid w:val="034F0B7A"/>
    <w:rsid w:val="052D4EEB"/>
    <w:rsid w:val="068A78BF"/>
    <w:rsid w:val="073065CD"/>
    <w:rsid w:val="0A22681A"/>
    <w:rsid w:val="0BA52010"/>
    <w:rsid w:val="0BB241D9"/>
    <w:rsid w:val="0C9B6BDE"/>
    <w:rsid w:val="0EF44384"/>
    <w:rsid w:val="10937656"/>
    <w:rsid w:val="10B80BE0"/>
    <w:rsid w:val="12EB3CF0"/>
    <w:rsid w:val="13A50343"/>
    <w:rsid w:val="16337E88"/>
    <w:rsid w:val="170E60ED"/>
    <w:rsid w:val="18745595"/>
    <w:rsid w:val="1A14067E"/>
    <w:rsid w:val="1A4F2DB6"/>
    <w:rsid w:val="1A9A764C"/>
    <w:rsid w:val="1ACF33C8"/>
    <w:rsid w:val="1AD04786"/>
    <w:rsid w:val="1BB16193"/>
    <w:rsid w:val="1C6E39C8"/>
    <w:rsid w:val="1CBD10AA"/>
    <w:rsid w:val="1D5801D4"/>
    <w:rsid w:val="1E171E3D"/>
    <w:rsid w:val="1E7B1B90"/>
    <w:rsid w:val="1FC14756"/>
    <w:rsid w:val="207B3326"/>
    <w:rsid w:val="20827A42"/>
    <w:rsid w:val="20F15633"/>
    <w:rsid w:val="211F7986"/>
    <w:rsid w:val="21771570"/>
    <w:rsid w:val="23901DF1"/>
    <w:rsid w:val="23971A56"/>
    <w:rsid w:val="25826736"/>
    <w:rsid w:val="27084A19"/>
    <w:rsid w:val="27D54A09"/>
    <w:rsid w:val="281C4C20"/>
    <w:rsid w:val="2ADA66CC"/>
    <w:rsid w:val="2BB86060"/>
    <w:rsid w:val="2BC730F4"/>
    <w:rsid w:val="2D2F1051"/>
    <w:rsid w:val="2DE0049D"/>
    <w:rsid w:val="309B329A"/>
    <w:rsid w:val="32FA3042"/>
    <w:rsid w:val="33264BA4"/>
    <w:rsid w:val="35033ACD"/>
    <w:rsid w:val="36213401"/>
    <w:rsid w:val="36C7044C"/>
    <w:rsid w:val="371A15F5"/>
    <w:rsid w:val="390E2362"/>
    <w:rsid w:val="39261FCD"/>
    <w:rsid w:val="394C636C"/>
    <w:rsid w:val="3ADC28EA"/>
    <w:rsid w:val="3D4576CC"/>
    <w:rsid w:val="403A7994"/>
    <w:rsid w:val="40C31D3F"/>
    <w:rsid w:val="41173D7E"/>
    <w:rsid w:val="412546ED"/>
    <w:rsid w:val="426C6C27"/>
    <w:rsid w:val="42B5384F"/>
    <w:rsid w:val="442B201A"/>
    <w:rsid w:val="453F6F17"/>
    <w:rsid w:val="464E3D9E"/>
    <w:rsid w:val="46CD560B"/>
    <w:rsid w:val="4AF931B4"/>
    <w:rsid w:val="4C060227"/>
    <w:rsid w:val="4C8A18A8"/>
    <w:rsid w:val="507765E7"/>
    <w:rsid w:val="51A451BA"/>
    <w:rsid w:val="53004672"/>
    <w:rsid w:val="57DB474F"/>
    <w:rsid w:val="5A0233C6"/>
    <w:rsid w:val="5C27083E"/>
    <w:rsid w:val="5CBA74F1"/>
    <w:rsid w:val="5D1210EE"/>
    <w:rsid w:val="5EC549C2"/>
    <w:rsid w:val="5EEB267A"/>
    <w:rsid w:val="62EE2739"/>
    <w:rsid w:val="6477675E"/>
    <w:rsid w:val="656960A7"/>
    <w:rsid w:val="657A4758"/>
    <w:rsid w:val="664B7EA3"/>
    <w:rsid w:val="667753E3"/>
    <w:rsid w:val="6A010FA4"/>
    <w:rsid w:val="6A4F4AD6"/>
    <w:rsid w:val="6B19334B"/>
    <w:rsid w:val="6B95269F"/>
    <w:rsid w:val="6BFA3EFD"/>
    <w:rsid w:val="6D047E87"/>
    <w:rsid w:val="6EF56BFD"/>
    <w:rsid w:val="6F7C43FE"/>
    <w:rsid w:val="71724D1D"/>
    <w:rsid w:val="727A3E8E"/>
    <w:rsid w:val="737E0209"/>
    <w:rsid w:val="75047B9A"/>
    <w:rsid w:val="7512673E"/>
    <w:rsid w:val="755328D0"/>
    <w:rsid w:val="79A4715F"/>
    <w:rsid w:val="7A9E639B"/>
    <w:rsid w:val="7B055203"/>
    <w:rsid w:val="7C4C5AFB"/>
    <w:rsid w:val="7CBC7408"/>
    <w:rsid w:val="7CC83BA3"/>
    <w:rsid w:val="7CCF0A8E"/>
    <w:rsid w:val="7D5B1628"/>
    <w:rsid w:val="7F44536F"/>
    <w:rsid w:val="7F9A2311"/>
    <w:rsid w:val="7FCF3DBA"/>
    <w:rsid w:val="7FD8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2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Professional"/>
    <w:basedOn w:val="9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1">
    <w:name w:val="Light List Accent 2"/>
    <w:basedOn w:val="9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strong"/>
    <w:basedOn w:val="12"/>
    <w:qFormat/>
    <w:uiPriority w:val="1"/>
    <w:rPr>
      <w:b/>
    </w:rPr>
  </w:style>
  <w:style w:type="paragraph" w:customStyle="1" w:styleId="15">
    <w:name w:val="centered"/>
    <w:basedOn w:val="1"/>
    <w:qFormat/>
    <w:uiPriority w:val="0"/>
    <w:pPr>
      <w:jc w:val="center"/>
    </w:pPr>
  </w:style>
  <w:style w:type="table" w:customStyle="1" w:styleId="16">
    <w:name w:val="table_template"/>
    <w:basedOn w:val="9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7">
    <w:name w:val="Titre 1 Car"/>
    <w:basedOn w:val="12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Titre 2 Car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9">
    <w:name w:val="Titre 3 Car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20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21">
    <w:name w:val="Table Caption"/>
    <w:basedOn w:val="20"/>
    <w:qFormat/>
    <w:uiPriority w:val="0"/>
  </w:style>
  <w:style w:type="character" w:customStyle="1" w:styleId="22">
    <w:name w:val="Texte de bulles Car"/>
    <w:basedOn w:val="12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3">
    <w:name w:val="reference_id"/>
    <w:basedOn w:val="12"/>
    <w:qFormat/>
    <w:uiPriority w:val="1"/>
    <w:rPr>
      <w:vertAlign w:val="superscript"/>
    </w:rPr>
  </w:style>
  <w:style w:type="paragraph" w:customStyle="1" w:styleId="24">
    <w:name w:val="graphic title"/>
    <w:basedOn w:val="20"/>
    <w:next w:val="1"/>
    <w:qFormat/>
    <w:uiPriority w:val="0"/>
  </w:style>
  <w:style w:type="paragraph" w:customStyle="1" w:styleId="25">
    <w:name w:val="table title"/>
    <w:basedOn w:val="2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671</Words>
  <Characters>4058</Characters>
  <Lines>0</Lines>
  <Paragraphs>0</Paragraphs>
  <TotalTime>108</TotalTime>
  <ScaleCrop>false</ScaleCrop>
  <LinksUpToDate>false</LinksUpToDate>
  <CharactersWithSpaces>4562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丨鲤磕鳞灬</dc:creator>
  <cp:lastModifiedBy>丨鲤磕鳞灬</cp:lastModifiedBy>
  <dcterms:modified xsi:type="dcterms:W3CDTF">2026-07-29T05:11:36Z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eyJoZGlkIjoiNGE4NWIzZWEzNWM3ZWVjMTFjYTQ0MjVkYmU5YTEzMjIiLCJ1c2VySWQiOiIyODI1NzA0NjAifQ==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A41EC57F4DCD441AA02FB56F1675CF55_12</vt:lpwstr>
  </property>
</Properties>
</file>