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3DAD" w14:textId="1F3DECCB" w:rsidR="00D24FDA" w:rsidRDefault="00D24FDA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5B1D7ED" wp14:editId="0D8C1298">
            <wp:extent cx="5274310" cy="2865755"/>
            <wp:effectExtent l="0" t="0" r="2540" b="0"/>
            <wp:docPr id="1537574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74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3A45" w14:textId="1DDA908C" w:rsidR="00D24FDA" w:rsidRPr="00085978" w:rsidRDefault="00D24FDA">
      <w:pPr>
        <w:rPr>
          <w:rFonts w:ascii="Arial" w:hAnsi="Arial" w:cs="Arial"/>
        </w:rPr>
      </w:pPr>
      <w:r w:rsidRPr="00D24FDA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 w:hint="eastAsia"/>
          <w:b/>
          <w:bCs/>
        </w:rPr>
        <w:t xml:space="preserve"> 1. </w:t>
      </w:r>
      <w:r w:rsidR="00085978" w:rsidRPr="00085978">
        <w:rPr>
          <w:rFonts w:ascii="Arial" w:hAnsi="Arial" w:cs="Arial"/>
        </w:rPr>
        <w:t xml:space="preserve">Analysis of calcium dynamics across spatial zones. </w:t>
      </w:r>
      <w:r w:rsidR="00085978">
        <w:rPr>
          <w:rFonts w:ascii="Arial" w:hAnsi="Arial" w:cs="Arial" w:hint="eastAsia"/>
        </w:rPr>
        <w:t>T</w:t>
      </w:r>
      <w:r w:rsidR="00085978" w:rsidRPr="00085978">
        <w:rPr>
          <w:rFonts w:ascii="Arial" w:hAnsi="Arial" w:cs="Arial"/>
        </w:rPr>
        <w:t xml:space="preserve">wo-way </w:t>
      </w:r>
      <w:r w:rsidR="00085978">
        <w:rPr>
          <w:rFonts w:ascii="Arial" w:hAnsi="Arial" w:cs="Arial" w:hint="eastAsia"/>
        </w:rPr>
        <w:t xml:space="preserve">repeated </w:t>
      </w:r>
      <w:r w:rsidR="00085978" w:rsidRPr="00085978">
        <w:rPr>
          <w:rFonts w:ascii="Arial" w:hAnsi="Arial" w:cs="Arial"/>
        </w:rPr>
        <w:t xml:space="preserve">ANOVA, with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drug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treatment (VEH or DA) and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zone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(</w:t>
      </w:r>
      <w:r w:rsidR="00085978">
        <w:rPr>
          <w:rFonts w:ascii="Arial" w:hAnsi="Arial" w:cs="Arial" w:hint="eastAsia"/>
        </w:rPr>
        <w:t>o</w:t>
      </w:r>
      <w:r w:rsidR="00085978" w:rsidRPr="00085978">
        <w:rPr>
          <w:rFonts w:ascii="Arial" w:hAnsi="Arial" w:cs="Arial"/>
        </w:rPr>
        <w:t xml:space="preserve">bject 1/old, </w:t>
      </w:r>
      <w:r w:rsidR="00085978">
        <w:rPr>
          <w:rFonts w:ascii="Arial" w:hAnsi="Arial" w:cs="Arial" w:hint="eastAsia"/>
        </w:rPr>
        <w:t>o</w:t>
      </w:r>
      <w:r w:rsidR="00085978" w:rsidRPr="00085978">
        <w:rPr>
          <w:rFonts w:ascii="Arial" w:hAnsi="Arial" w:cs="Arial"/>
        </w:rPr>
        <w:t>bject 2/novel, or non-object area) as within-subject factor</w:t>
      </w:r>
      <w:r w:rsidR="00085978">
        <w:rPr>
          <w:rFonts w:ascii="Arial" w:hAnsi="Arial" w:cs="Arial" w:hint="eastAsia"/>
        </w:rPr>
        <w:t>s</w:t>
      </w:r>
      <w:r w:rsidR="00085978" w:rsidRPr="00085978">
        <w:rPr>
          <w:rFonts w:ascii="Arial" w:hAnsi="Arial" w:cs="Arial"/>
        </w:rPr>
        <w:t xml:space="preserve">, revealed significant main effects of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zone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on the mean z-score and number of calcium spikes during the learning trial. During the testing trial, significant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drug × zone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interactions and main effects of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zone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were observed for both measures. A significant main effect of </w:t>
      </w:r>
      <w:r w:rsidR="00085978">
        <w:rPr>
          <w:rFonts w:ascii="Arial" w:hAnsi="Arial" w:cs="Arial"/>
        </w:rPr>
        <w:t>“</w:t>
      </w:r>
      <w:r w:rsidR="00085978" w:rsidRPr="00085978">
        <w:rPr>
          <w:rFonts w:ascii="Arial" w:hAnsi="Arial" w:cs="Arial"/>
        </w:rPr>
        <w:t>drug</w:t>
      </w:r>
      <w:r w:rsidR="00085978">
        <w:rPr>
          <w:rFonts w:ascii="Arial" w:hAnsi="Arial" w:cs="Arial"/>
        </w:rPr>
        <w:t>”</w:t>
      </w:r>
      <w:r w:rsidR="00085978" w:rsidRPr="00085978">
        <w:rPr>
          <w:rFonts w:ascii="Arial" w:hAnsi="Arial" w:cs="Arial"/>
        </w:rPr>
        <w:t xml:space="preserve"> was also detected for the number of calcium spikes during the testing trial. #</w:t>
      </w:r>
      <w:r w:rsidR="00085978">
        <w:rPr>
          <w:rFonts w:ascii="Arial" w:hAnsi="Arial" w:cs="Arial" w:hint="eastAsia"/>
          <w:i/>
          <w:iCs/>
        </w:rPr>
        <w:t xml:space="preserve"> </w:t>
      </w:r>
      <w:r w:rsidR="00085978" w:rsidRPr="00085978">
        <w:rPr>
          <w:rFonts w:ascii="Arial" w:hAnsi="Arial" w:cs="Arial" w:hint="eastAsia"/>
        </w:rPr>
        <w:t>significant differences</w:t>
      </w:r>
      <w:r w:rsidR="00085978" w:rsidRPr="00085978">
        <w:rPr>
          <w:rFonts w:ascii="Arial" w:hAnsi="Arial" w:cs="Arial"/>
        </w:rPr>
        <w:t xml:space="preserve"> versus the object zones (overall comparison; </w:t>
      </w:r>
      <w:r w:rsidR="00085978">
        <w:rPr>
          <w:rFonts w:ascii="Arial" w:hAnsi="Arial" w:cs="Arial" w:hint="eastAsia"/>
        </w:rPr>
        <w:t xml:space="preserve">see </w:t>
      </w:r>
      <w:r w:rsidR="00085978" w:rsidRPr="00085978">
        <w:rPr>
          <w:rFonts w:ascii="Arial" w:hAnsi="Arial" w:cs="Arial"/>
        </w:rPr>
        <w:t>Figure 3c); **</w:t>
      </w:r>
      <w:r w:rsidR="00085978" w:rsidRPr="00085978">
        <w:rPr>
          <w:rFonts w:ascii="Arial" w:hAnsi="Arial" w:cs="Arial"/>
          <w:i/>
          <w:iCs/>
        </w:rPr>
        <w:t>p</w:t>
      </w:r>
      <w:r w:rsidR="00085978" w:rsidRPr="00085978">
        <w:rPr>
          <w:rFonts w:ascii="Arial" w:hAnsi="Arial" w:cs="Arial"/>
        </w:rPr>
        <w:t xml:space="preserve">&lt;0.01, paired </w:t>
      </w:r>
      <w:r w:rsidR="00085978" w:rsidRPr="00085978">
        <w:rPr>
          <w:rFonts w:ascii="Arial" w:hAnsi="Arial" w:cs="Arial"/>
          <w:i/>
          <w:iCs/>
        </w:rPr>
        <w:t>t</w:t>
      </w:r>
      <w:r w:rsidR="00085978" w:rsidRPr="00085978">
        <w:rPr>
          <w:rFonts w:ascii="Arial" w:hAnsi="Arial" w:cs="Arial"/>
        </w:rPr>
        <w:t>-test.</w:t>
      </w:r>
    </w:p>
    <w:p w14:paraId="354E33A1" w14:textId="77777777" w:rsidR="00D24FDA" w:rsidRDefault="00D24FDA">
      <w:pPr>
        <w:rPr>
          <w:rFonts w:ascii="Arial" w:hAnsi="Arial" w:cs="Arial"/>
          <w:b/>
          <w:bCs/>
        </w:rPr>
      </w:pPr>
    </w:p>
    <w:p w14:paraId="180D410D" w14:textId="77777777" w:rsidR="00D24FDA" w:rsidRDefault="00D24FDA">
      <w:pPr>
        <w:rPr>
          <w:rFonts w:ascii="Arial" w:hAnsi="Arial" w:cs="Arial"/>
          <w:b/>
          <w:bCs/>
        </w:rPr>
      </w:pPr>
    </w:p>
    <w:p w14:paraId="32AA9FB3" w14:textId="77777777" w:rsidR="00085978" w:rsidRDefault="00085978">
      <w:pPr>
        <w:rPr>
          <w:rFonts w:ascii="Arial" w:hAnsi="Arial" w:cs="Arial"/>
          <w:b/>
          <w:bCs/>
        </w:rPr>
      </w:pPr>
    </w:p>
    <w:p w14:paraId="3C42CBC7" w14:textId="77777777" w:rsidR="00085978" w:rsidRDefault="00085978">
      <w:pPr>
        <w:rPr>
          <w:rFonts w:ascii="Arial" w:hAnsi="Arial" w:cs="Arial"/>
          <w:b/>
          <w:bCs/>
        </w:rPr>
      </w:pPr>
    </w:p>
    <w:p w14:paraId="6495E715" w14:textId="77777777" w:rsidR="00085978" w:rsidRDefault="00085978">
      <w:pPr>
        <w:rPr>
          <w:rFonts w:ascii="Arial" w:hAnsi="Arial" w:cs="Arial"/>
          <w:b/>
          <w:bCs/>
        </w:rPr>
      </w:pPr>
    </w:p>
    <w:p w14:paraId="5030964E" w14:textId="77777777" w:rsidR="00085978" w:rsidRDefault="00085978">
      <w:pPr>
        <w:rPr>
          <w:rFonts w:ascii="Arial" w:hAnsi="Arial" w:cs="Arial" w:hint="eastAsia"/>
          <w:b/>
          <w:bCs/>
        </w:rPr>
      </w:pPr>
    </w:p>
    <w:p w14:paraId="499A68BB" w14:textId="02F02F5C" w:rsidR="00D24FDA" w:rsidRDefault="00D24FDA">
      <w:pPr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5355A015" wp14:editId="53870D00">
            <wp:extent cx="5274310" cy="1681480"/>
            <wp:effectExtent l="0" t="0" r="2540" b="0"/>
            <wp:docPr id="19187666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666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8EBF1" w14:textId="7FEFA866" w:rsidR="00D24FDA" w:rsidRDefault="00D24FDA" w:rsidP="00D24FDA">
      <w:pPr>
        <w:rPr>
          <w:rFonts w:ascii="Arial" w:hAnsi="Arial" w:cs="Arial"/>
          <w:b/>
          <w:bCs/>
        </w:rPr>
      </w:pPr>
      <w:r w:rsidRPr="00D24FDA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 w:hint="eastAsia"/>
          <w:b/>
          <w:bCs/>
        </w:rPr>
        <w:t xml:space="preserve"> </w:t>
      </w:r>
      <w:r>
        <w:rPr>
          <w:rFonts w:ascii="Arial" w:hAnsi="Arial" w:cs="Arial" w:hint="eastAsia"/>
          <w:b/>
          <w:bCs/>
        </w:rPr>
        <w:t>2</w:t>
      </w:r>
      <w:r>
        <w:rPr>
          <w:rFonts w:ascii="Arial" w:hAnsi="Arial" w:cs="Arial" w:hint="eastAsia"/>
          <w:b/>
          <w:bCs/>
        </w:rPr>
        <w:t xml:space="preserve">. </w:t>
      </w:r>
      <w:r w:rsidRPr="00D24FDA">
        <w:rPr>
          <w:rFonts w:ascii="Arial" w:hAnsi="Arial" w:cs="Arial"/>
        </w:rPr>
        <w:t>Raw calcium traces aligned to entry events for individual subjects in the peri-event analyses.</w:t>
      </w:r>
    </w:p>
    <w:p w14:paraId="1DE0974B" w14:textId="77777777" w:rsidR="00D24FDA" w:rsidRPr="00D24FDA" w:rsidRDefault="00D24FDA">
      <w:pPr>
        <w:rPr>
          <w:rFonts w:ascii="Arial" w:hAnsi="Arial" w:cs="Arial" w:hint="eastAsia"/>
          <w:b/>
          <w:bCs/>
        </w:rPr>
      </w:pPr>
    </w:p>
    <w:sectPr w:rsidR="00D24FDA" w:rsidRPr="00D24F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DA"/>
    <w:rsid w:val="00085978"/>
    <w:rsid w:val="005525A8"/>
    <w:rsid w:val="00D2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F3A4"/>
  <w15:chartTrackingRefBased/>
  <w15:docId w15:val="{2FCF630F-301F-46F8-9FF8-1488FEDE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4F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FD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FD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FD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FD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FD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FD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24F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24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24FD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24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24FD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24F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24F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24F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24F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4F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24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F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24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24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F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4F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4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24F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4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歐文 趙</dc:creator>
  <cp:keywords/>
  <dc:description/>
  <cp:lastModifiedBy>歐文 趙</cp:lastModifiedBy>
  <cp:revision>2</cp:revision>
  <dcterms:created xsi:type="dcterms:W3CDTF">2026-07-30T04:20:00Z</dcterms:created>
  <dcterms:modified xsi:type="dcterms:W3CDTF">2026-07-30T04:43:00Z</dcterms:modified>
</cp:coreProperties>
</file>