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2F393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both"/>
        <w:textAlignment w:val="auto"/>
        <w:outlineLvl w:val="0"/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eastAsia="zh-CN"/>
          <w14:textFill>
            <w14:solidFill>
              <w14:schemeClr w14:val="tx1"/>
            </w14:solidFill>
          </w14:textFill>
        </w:rPr>
        <w:t>Online Resource</w:t>
      </w: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s</w:t>
      </w:r>
    </w:p>
    <w:p w14:paraId="0DFB2E12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both"/>
        <w:textAlignment w:val="auto"/>
        <w:outlineLvl w:val="0"/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Online Resource 1 Sample Clinical Information Form </w:t>
      </w:r>
    </w:p>
    <w:p w14:paraId="196EA8E4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both"/>
        <w:textAlignment w:val="auto"/>
        <w:outlineLvl w:val="9"/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Online Resource </w:t>
      </w:r>
      <w:r>
        <w:rPr>
          <w:rFonts w:hint="eastAsia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. The sequences of all primers.</w:t>
      </w:r>
    </w:p>
    <w:p w14:paraId="6034010A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both"/>
        <w:textAlignment w:val="auto"/>
        <w:outlineLvl w:val="9"/>
        <w:rPr>
          <w:rFonts w:hint="default" w:ascii="Times New Roman" w:hAnsi="Times New Roman" w:eastAsia="宋体" w:cs="Times New Roman"/>
          <w:b w:val="0"/>
          <w:bCs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Online Resource 3 Principal component analysis (PCA). 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The horizontal axis (PC1) represents the first principal component, which explains the largest direction of variance in the data; the vertical axis (PC2) represents the second principal component, which explains the second largest direction of variance; and the third axis (PC3) represents the third principal component. Sample grouping: blue dots represent the control group, and orange dots represent the treatment group.</w:t>
      </w:r>
    </w:p>
    <w:p w14:paraId="5DDD884C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both"/>
        <w:textAlignment w:val="auto"/>
        <w:outlineLvl w:val="9"/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Online Resource </w:t>
      </w:r>
      <w:r>
        <w:rPr>
          <w:rFonts w:hint="eastAsia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. List of differentially expressed genes.</w:t>
      </w:r>
    </w:p>
    <w:p w14:paraId="170DE168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both"/>
        <w:textAlignment w:val="auto"/>
        <w:outlineLvl w:val="9"/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Online Resource </w:t>
      </w:r>
      <w:r>
        <w:rPr>
          <w:rFonts w:hint="eastAsia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. GO enrichment terms of differentially expressed genes.</w:t>
      </w:r>
      <w:bookmarkStart w:id="0" w:name="_GoBack"/>
      <w:bookmarkEnd w:id="0"/>
    </w:p>
    <w:p w14:paraId="52CBDED5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both"/>
        <w:textAlignment w:val="auto"/>
        <w:outlineLvl w:val="9"/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Online Resource </w:t>
      </w:r>
      <w:r>
        <w:rPr>
          <w:rFonts w:hint="eastAsia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. KEGG pathways enriched in differentially expressed genes.</w:t>
      </w:r>
    </w:p>
    <w:p w14:paraId="1AD6FB1A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both"/>
        <w:textAlignment w:val="auto"/>
        <w:outlineLvl w:val="9"/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Online Resource 7</w:t>
      </w:r>
      <w:r>
        <w:rPr>
          <w:rFonts w:hint="eastAsia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. Boruta feature-importance distributions after a maximum of 500 runs. Green, yellow, and red boxes denote confirmed, tentative, and rejected features, respectively, and blue boxes denote shadow reference features; nine confirmed genes were retained.</w:t>
      </w:r>
    </w:p>
    <w:p w14:paraId="06EF0EA3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both"/>
        <w:textAlignment w:val="auto"/>
        <w:outlineLvl w:val="9"/>
        <w:rPr>
          <w:rFonts w:hint="default" w:ascii="Times New Roman" w:hAnsi="Times New Roman" w:eastAsia="宋体" w:cs="Times New Roman"/>
          <w:b w:val="0"/>
          <w:bCs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Online Resource </w:t>
      </w:r>
      <w:r>
        <w:rPr>
          <w:rFonts w:hint="eastAsia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 Determination of 3 Candidate Transcriptional Group Characteristic Genes.</w:t>
      </w:r>
      <w:r>
        <w:rPr>
          <w:rFonts w:hint="eastAsia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(a)Venn diagram showing the overlap among LASSO, RF, and Boruta, which identified TAS2R60, GPLD1, and GPR42.(b)Normalized expression of the three genes in pre-treatment and post-treatment samples (n = 8 per group). Box centers indicate medians, boxes indicate interquartile ranges, and whiskers extend to 1.5 times the interquartile range. Groups were compared using a two-sided Wilcoxon rank-sum test. *P &lt; 0.05; **P &lt; 0.01. (c-e) Sensitivity analyses of the three candidate transcriptomic signature genes are performed using the LASSO (c), RF (d), and Boruta (e) methods.</w:t>
      </w:r>
    </w:p>
    <w:p w14:paraId="0CBFDCB1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both"/>
        <w:textAlignment w:val="auto"/>
        <w:outlineLvl w:val="9"/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Online Resource </w:t>
      </w:r>
      <w:r>
        <w:rPr>
          <w:rFonts w:hint="eastAsia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 Complete screening process of the three candidate transcriptomic signature genes.</w:t>
      </w:r>
    </w:p>
    <w:p w14:paraId="68700C62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both"/>
        <w:textAlignment w:val="auto"/>
        <w:outlineLvl w:val="9"/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Online Resource </w:t>
      </w:r>
      <w:r>
        <w:rPr>
          <w:rFonts w:hint="eastAsia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 ROC validation of the three candidate transcriptomic signature genes.</w:t>
      </w:r>
    </w:p>
    <w:p w14:paraId="60630E28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both"/>
        <w:textAlignment w:val="auto"/>
        <w:outlineLvl w:val="9"/>
        <w:rPr>
          <w:rFonts w:hint="default" w:ascii="Times New Roman" w:hAnsi="Times New Roman" w:eastAsia="黑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Online Resource </w:t>
      </w:r>
      <w:r>
        <w:rPr>
          <w:rFonts w:hint="eastAsia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default" w:ascii="Times New Roman" w:hAnsi="Times New Roman" w:eastAsia="宋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. Significant GSEA pathways associated with </w:t>
      </w:r>
      <w:r>
        <w:rPr>
          <w:rFonts w:hint="default" w:ascii="Times New Roman" w:hAnsi="Times New Roman" w:eastAsia="黑体" w:cs="Times New Roman"/>
          <w:b/>
          <w:bCs w:val="0"/>
          <w:color w:val="000000" w:themeColor="text1"/>
          <w:sz w:val="20"/>
          <w:szCs w:val="20"/>
          <w:u w:val="none" w:color="auto"/>
          <w14:textFill>
            <w14:solidFill>
              <w14:schemeClr w14:val="tx1"/>
            </w14:solidFill>
          </w14:textFill>
        </w:rPr>
        <w:t>biomarkers</w:t>
      </w:r>
      <w:r>
        <w:rPr>
          <w:rFonts w:hint="default" w:ascii="Times New Roman" w:hAnsi="Times New Roman" w:eastAsia="黑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69D62C21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both"/>
        <w:textAlignment w:val="auto"/>
        <w:outlineLvl w:val="9"/>
        <w:rPr>
          <w:rFonts w:hint="default" w:ascii="Times New Roman" w:hAnsi="Times New Roman" w:eastAsia="黑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Online Resource 1</w:t>
      </w:r>
      <w:r>
        <w:rPr>
          <w:rFonts w:hint="eastAsia" w:eastAsia="黑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黑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 Two-dimensional ligand interaction diagrams of the three candidate transcriptomic signature genes.</w:t>
      </w:r>
      <w:r>
        <w:rPr>
          <w:rFonts w:hint="eastAsia" w:eastAsia="黑体" w:cs="Times New Roman"/>
          <w:b/>
          <w:bCs w:val="0"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(a)</w:t>
      </w:r>
      <w:r>
        <w:rPr>
          <w:rFonts w:hint="eastAsia" w:cs="Times New Roman"/>
          <w:b w:val="0"/>
          <w:bCs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黑体" w:cs="Times New Roman"/>
          <w:b w:val="0"/>
          <w:bCs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GPLD1 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(b)</w:t>
      </w:r>
      <w:r>
        <w:rPr>
          <w:rFonts w:hint="eastAsia" w:cs="Times New Roman"/>
          <w:b w:val="0"/>
          <w:bCs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黑体" w:cs="Times New Roman"/>
          <w:b w:val="0"/>
          <w:bCs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 xml:space="preserve">GPR42 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(c)</w:t>
      </w:r>
      <w:r>
        <w:rPr>
          <w:rFonts w:hint="eastAsia" w:eastAsia="黑体" w:cs="Times New Roman"/>
          <w:b w:val="0"/>
          <w:bCs/>
          <w:color w:val="000000" w:themeColor="text1"/>
          <w:sz w:val="20"/>
          <w:szCs w:val="20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TAS2R60</w:t>
      </w:r>
    </w:p>
    <w:p w14:paraId="497F74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36332"/>
    <w:rsid w:val="7CF3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bCs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2026-08-10T09:51:00Z</dcterms:created>
  <dc:creator>夏天的小尾巴</dc:creator>
  <cp:lastModifiedBy>夏天的小尾巴</cp:lastModifiedBy>
  <dcterms:modified xsi:type="dcterms:W3CDTF">2026-08-10T09:52:33Z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3496E898AED2444983790FF466CCAB10_11</vt:lpwstr>
  </property>
  <property fmtid="{D5CDD505-2E9C-101B-9397-08002B2CF9AE}" pid="4" name="KSOTemplateDocerSaveRecord">
    <vt:lpwstr>eyJoZGlkIjoiMzEwNTM5NzYwMDRjMzkwZTVkZjY2ODkwMGIxNGU0OTUiLCJ1c2VySWQiOiI5Mzg3NjUyOTUifQ==</vt:lpwstr>
  </property>
</Properties>
</file>