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7C03" w14:textId="77777777" w:rsidR="009970B1" w:rsidRPr="009970B1" w:rsidRDefault="009970B1" w:rsidP="009970B1">
      <w:pPr>
        <w:spacing w:line="360" w:lineRule="auto"/>
        <w:contextualSpacing/>
        <w:rPr>
          <w:rFonts w:ascii="Calibri" w:hAnsi="Calibri" w:cs="Calibri"/>
          <w:b/>
          <w:bCs/>
          <w:spacing w:val="20"/>
          <w:sz w:val="36"/>
          <w:szCs w:val="36"/>
        </w:rPr>
      </w:pPr>
      <w:r w:rsidRPr="009970B1">
        <w:rPr>
          <w:rFonts w:ascii="Calibri" w:hAnsi="Calibri" w:cs="Calibri"/>
          <w:b/>
          <w:bCs/>
          <w:spacing w:val="20"/>
          <w:sz w:val="36"/>
          <w:szCs w:val="36"/>
        </w:rPr>
        <w:t xml:space="preserve">Gene Flow, Kinship, and Source Population Assignment in </w:t>
      </w:r>
      <w:r w:rsidRPr="009970B1">
        <w:rPr>
          <w:rFonts w:ascii="Calibri" w:hAnsi="Calibri" w:cs="Calibri"/>
          <w:b/>
          <w:bCs/>
          <w:i/>
          <w:iCs/>
          <w:spacing w:val="20"/>
          <w:sz w:val="36"/>
          <w:szCs w:val="36"/>
        </w:rPr>
        <w:t>Chrysomya</w:t>
      </w:r>
      <w:r w:rsidRPr="009970B1">
        <w:rPr>
          <w:rFonts w:ascii="Calibri" w:hAnsi="Calibri" w:cs="Calibri"/>
          <w:b/>
          <w:bCs/>
          <w:spacing w:val="20"/>
          <w:sz w:val="36"/>
          <w:szCs w:val="36"/>
        </w:rPr>
        <w:t xml:space="preserve"> Blow Flies</w:t>
      </w:r>
    </w:p>
    <w:p w14:paraId="6A1719A9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  <w:lang w:bidi="ar-EG"/>
        </w:rPr>
      </w:pPr>
    </w:p>
    <w:p w14:paraId="75FF65F0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  <w:b/>
          <w:bCs/>
          <w:sz w:val="28"/>
          <w:szCs w:val="28"/>
        </w:rPr>
      </w:pPr>
      <w:r w:rsidRPr="00AB0EB1">
        <w:rPr>
          <w:rFonts w:ascii="Calibri" w:hAnsi="Calibri" w:cs="Calibri"/>
          <w:b/>
          <w:bCs/>
          <w:sz w:val="28"/>
          <w:szCs w:val="28"/>
        </w:rPr>
        <w:t>SUPPLEMENTARY MATERIALS</w:t>
      </w:r>
    </w:p>
    <w:p w14:paraId="61F68D0A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4A8DA55A" w14:textId="77777777" w:rsidR="00A77E08" w:rsidRPr="00AB0EB1" w:rsidRDefault="00A77E08" w:rsidP="00A77E08">
      <w:pPr>
        <w:pStyle w:val="Heading2"/>
        <w:spacing w:before="0" w:after="0" w:line="360" w:lineRule="auto"/>
        <w:contextualSpacing/>
        <w:rPr>
          <w:rFonts w:ascii="Calibri" w:hAnsi="Calibri" w:cs="Calibri"/>
          <w:color w:val="auto"/>
        </w:rPr>
      </w:pPr>
      <w:r w:rsidRPr="00AB0EB1">
        <w:rPr>
          <w:rFonts w:ascii="Calibri" w:hAnsi="Calibri" w:cs="Calibri"/>
          <w:color w:val="auto"/>
        </w:rPr>
        <w:t>Supplementary Tables</w:t>
      </w:r>
    </w:p>
    <w:p w14:paraId="370D5D0A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16B71F54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  <w:sz w:val="20"/>
          <w:szCs w:val="20"/>
        </w:rPr>
        <w:t xml:space="preserve">Table S1.  Collection sites, sampling dates, geographic coordinates, and sample sizes for </w:t>
      </w:r>
      <w:r w:rsidRPr="00AB0EB1">
        <w:rPr>
          <w:rFonts w:ascii="Calibri" w:hAnsi="Calibri" w:cs="Calibri"/>
          <w:b/>
          <w:bCs/>
          <w:i/>
          <w:iCs/>
          <w:sz w:val="20"/>
          <w:szCs w:val="20"/>
        </w:rPr>
        <w:t>Chrysomya</w:t>
      </w:r>
      <w:r w:rsidRPr="00AB0EB1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AB0EB1">
        <w:rPr>
          <w:rFonts w:ascii="Calibri" w:hAnsi="Calibri" w:cs="Calibri"/>
          <w:b/>
          <w:bCs/>
          <w:i/>
          <w:iCs/>
          <w:sz w:val="20"/>
          <w:szCs w:val="20"/>
        </w:rPr>
        <w:t>albiceps</w:t>
      </w:r>
      <w:r w:rsidRPr="00AB0EB1">
        <w:rPr>
          <w:rFonts w:ascii="Calibri" w:hAnsi="Calibri" w:cs="Calibri"/>
          <w:b/>
          <w:bCs/>
          <w:sz w:val="20"/>
          <w:szCs w:val="20"/>
        </w:rPr>
        <w:t xml:space="preserve"> and </w:t>
      </w:r>
      <w:r w:rsidRPr="00AB0EB1">
        <w:rPr>
          <w:rFonts w:ascii="Calibri" w:hAnsi="Calibri" w:cs="Calibri"/>
          <w:b/>
          <w:bCs/>
          <w:i/>
          <w:iCs/>
          <w:sz w:val="20"/>
          <w:szCs w:val="20"/>
        </w:rPr>
        <w:t>C</w:t>
      </w:r>
      <w:r w:rsidRPr="00AB0EB1">
        <w:rPr>
          <w:rFonts w:ascii="Calibri" w:hAnsi="Calibri" w:cs="Calibri"/>
          <w:b/>
          <w:bCs/>
          <w:sz w:val="20"/>
          <w:szCs w:val="20"/>
        </w:rPr>
        <w:t xml:space="preserve">. </w:t>
      </w:r>
      <w:r w:rsidRPr="00AB0EB1">
        <w:rPr>
          <w:rFonts w:ascii="Calibri" w:hAnsi="Calibri" w:cs="Calibri"/>
          <w:b/>
          <w:bCs/>
          <w:i/>
          <w:iCs/>
          <w:sz w:val="20"/>
          <w:szCs w:val="20"/>
        </w:rPr>
        <w:t>marginalis</w:t>
      </w:r>
      <w:r w:rsidRPr="00AB0EB1">
        <w:rPr>
          <w:rFonts w:ascii="Calibri" w:hAnsi="Calibri" w:cs="Calibri"/>
          <w:b/>
          <w:bCs/>
          <w:sz w:val="20"/>
          <w:szCs w:val="20"/>
        </w:rPr>
        <w:t xml:space="preserve"> used in AFLP population genetic analysis.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100"/>
        <w:gridCol w:w="1100"/>
        <w:gridCol w:w="1800"/>
        <w:gridCol w:w="1600"/>
        <w:gridCol w:w="2160"/>
      </w:tblGrid>
      <w:tr w:rsidR="003E0DC1" w:rsidRPr="00AB0EB1" w14:paraId="0786F991" w14:textId="77777777" w:rsidTr="00112AA8">
        <w:trPr>
          <w:tblHeader/>
        </w:trPr>
        <w:tc>
          <w:tcPr>
            <w:tcW w:w="160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399310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  <w:t>Species</w:t>
            </w:r>
          </w:p>
        </w:tc>
        <w:tc>
          <w:tcPr>
            <w:tcW w:w="110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CB9378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Collection Site</w:t>
            </w:r>
          </w:p>
        </w:tc>
        <w:tc>
          <w:tcPr>
            <w:tcW w:w="110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E54772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Year</w:t>
            </w:r>
          </w:p>
        </w:tc>
        <w:tc>
          <w:tcPr>
            <w:tcW w:w="180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F2CCFD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Coordinates</w:t>
            </w:r>
          </w:p>
        </w:tc>
        <w:tc>
          <w:tcPr>
            <w:tcW w:w="160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AEC0F5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Collection Date</w:t>
            </w:r>
          </w:p>
        </w:tc>
        <w:tc>
          <w:tcPr>
            <w:tcW w:w="216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32D2F93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n (sex)</w:t>
            </w:r>
          </w:p>
        </w:tc>
      </w:tr>
      <w:tr w:rsidR="003E0DC1" w:rsidRPr="00AB0EB1" w14:paraId="7BBA4E07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020D703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i/>
                <w:iCs/>
                <w:sz w:val="19"/>
                <w:szCs w:val="19"/>
              </w:rPr>
              <w:t>C. albiceps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6E575CA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Giza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BE4AF36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2013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F226283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30°00′N, 31°10′E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52A28C3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27 May 2013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D6A8D43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36 (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♀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3E0DC1" w:rsidRPr="00AB0EB1" w14:paraId="539D311A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5506B23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92AFCA6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Minya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12B4B77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2013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4FAE1EE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30°07′N, 30°33′E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7BA4F2A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13 March 2013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17BC0B9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9 (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♀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3E0DC1" w:rsidRPr="00AB0EB1" w14:paraId="61BE9318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0719F9D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2053CD4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Dayrout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DFB4EFC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2013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D11D556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27°34′N, 30°49′E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032427F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4 June 2013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32DDE87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24 (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♀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3E0DC1" w:rsidRPr="00AB0EB1" w14:paraId="4AF77FEE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71DE672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11E7E62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North Sinai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9E31659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2013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7DD1645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31°02′N, 33°00′E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7AC346A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 May 2013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463927D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8 (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♀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3E0DC1" w:rsidRPr="00AB0EB1" w14:paraId="3ACCA3CD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3F3A1FC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i/>
                <w:iCs/>
                <w:sz w:val="19"/>
                <w:szCs w:val="19"/>
              </w:rPr>
              <w:t>C. marginalis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499EFD5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Giza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0926319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2013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AF069B6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30°00′N, 31°10′E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414245C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27 May 2013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3C3D4EE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7 (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♀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3E0DC1" w:rsidRPr="00AB0EB1" w14:paraId="57E985CF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7B4B455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A76F7F2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Dayrout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112DB4D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2013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B73F163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27°34′N, 30°49′E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A0049B2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4 June 2013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817E643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3 (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♀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3E0DC1" w:rsidRPr="00AB0EB1" w14:paraId="615DB708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4BF3E80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7CD8859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Giza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2F47BA0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2014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83772EE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30°00′N, 31°10′E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240EB15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5 May 2014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F873734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17 (3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♂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, 14</w:t>
            </w:r>
            <w:r w:rsidRPr="00AB0EB1">
              <w:rPr>
                <w:rFonts w:ascii="Segoe UI Symbol" w:hAnsi="Segoe UI Symbol" w:cs="Segoe UI Symbol"/>
                <w:sz w:val="19"/>
                <w:szCs w:val="19"/>
              </w:rPr>
              <w:t>♀</w:t>
            </w:r>
            <w:r w:rsidRPr="00AB0EB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3E0DC1" w:rsidRPr="00AB0EB1" w14:paraId="3B740FD5" w14:textId="77777777" w:rsidTr="00112AA8"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3439262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Total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253A9B2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—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EA1E150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—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34D9720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—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2AB7107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—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61C018B" w14:textId="77777777" w:rsidR="00A77E08" w:rsidRPr="00AB0EB1" w:rsidRDefault="00A77E08" w:rsidP="00A77E08">
            <w:pPr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104</w:t>
            </w:r>
          </w:p>
        </w:tc>
      </w:tr>
    </w:tbl>
    <w:p w14:paraId="6E902C27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sz w:val="19"/>
          <w:szCs w:val="19"/>
        </w:rPr>
        <w:t xml:space="preserve">n = number of individuals included in analysis. </w:t>
      </w:r>
      <w:r w:rsidRPr="00AB0EB1">
        <w:rPr>
          <w:rFonts w:ascii="Segoe UI Symbol" w:hAnsi="Segoe UI Symbol" w:cs="Segoe UI Symbol"/>
          <w:sz w:val="19"/>
          <w:szCs w:val="19"/>
        </w:rPr>
        <w:t>♀</w:t>
      </w:r>
      <w:r w:rsidRPr="00AB0EB1">
        <w:rPr>
          <w:rFonts w:ascii="Calibri" w:hAnsi="Calibri" w:cs="Calibri"/>
          <w:sz w:val="19"/>
          <w:szCs w:val="19"/>
        </w:rPr>
        <w:t xml:space="preserve"> = female; </w:t>
      </w:r>
      <w:r w:rsidRPr="00AB0EB1">
        <w:rPr>
          <w:rFonts w:ascii="Segoe UI Symbol" w:hAnsi="Segoe UI Symbol" w:cs="Segoe UI Symbol"/>
          <w:sz w:val="19"/>
          <w:szCs w:val="19"/>
        </w:rPr>
        <w:t>♂</w:t>
      </w:r>
      <w:r w:rsidRPr="00AB0EB1">
        <w:rPr>
          <w:rFonts w:ascii="Calibri" w:hAnsi="Calibri" w:cs="Calibri"/>
          <w:sz w:val="19"/>
          <w:szCs w:val="19"/>
        </w:rPr>
        <w:t xml:space="preserve"> = male. Dayrout 2013 </w:t>
      </w:r>
      <w:r w:rsidRPr="00AB0EB1">
        <w:rPr>
          <w:rFonts w:ascii="Calibri" w:hAnsi="Calibri" w:cs="Calibri"/>
          <w:i/>
          <w:iCs/>
          <w:sz w:val="19"/>
          <w:szCs w:val="19"/>
        </w:rPr>
        <w:t>C</w:t>
      </w:r>
      <w:r w:rsidRPr="00AB0EB1">
        <w:rPr>
          <w:rFonts w:ascii="Calibri" w:hAnsi="Calibri" w:cs="Calibri"/>
          <w:sz w:val="19"/>
          <w:szCs w:val="19"/>
        </w:rPr>
        <w:t xml:space="preserve">. </w:t>
      </w:r>
      <w:r w:rsidRPr="00AB0EB1">
        <w:rPr>
          <w:rFonts w:ascii="Calibri" w:hAnsi="Calibri" w:cs="Calibri"/>
          <w:i/>
          <w:iCs/>
          <w:sz w:val="19"/>
          <w:szCs w:val="19"/>
        </w:rPr>
        <w:t>albiceps</w:t>
      </w:r>
      <w:r w:rsidRPr="00AB0EB1">
        <w:rPr>
          <w:rFonts w:ascii="Calibri" w:hAnsi="Calibri" w:cs="Calibri"/>
          <w:sz w:val="19"/>
          <w:szCs w:val="19"/>
        </w:rPr>
        <w:t xml:space="preserve"> sample includes individuals from a supplementary site &lt; 10 km from the primary trap location (see text).</w:t>
      </w:r>
    </w:p>
    <w:p w14:paraId="2BFAC2D7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4E117085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  <w:sz w:val="20"/>
          <w:szCs w:val="20"/>
        </w:rPr>
        <w:t>Table S2.  Sequences of AFLP adaptors and selective primers used in this study. All oligonucleotides were synthesised by Integrated DNA Technologies (Coralville, IA, USA).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480"/>
        <w:gridCol w:w="3480"/>
      </w:tblGrid>
      <w:tr w:rsidR="003E0DC1" w:rsidRPr="00AB0EB1" w14:paraId="19420438" w14:textId="77777777" w:rsidTr="00112AA8">
        <w:trPr>
          <w:tblHeader/>
        </w:trPr>
        <w:tc>
          <w:tcPr>
            <w:tcW w:w="240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1683EC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Name</w:t>
            </w:r>
          </w:p>
        </w:tc>
        <w:tc>
          <w:tcPr>
            <w:tcW w:w="348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CFB3E7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Sequence (5′ → 3′)</w:t>
            </w:r>
          </w:p>
        </w:tc>
        <w:tc>
          <w:tcPr>
            <w:tcW w:w="3480" w:type="dxa"/>
            <w:tcBorders>
              <w:top w:val="single" w:sz="8" w:space="0" w:color="2C5F8A"/>
              <w:left w:val="single" w:sz="4" w:space="0" w:color="AAAAAA"/>
              <w:bottom w:val="single" w:sz="8" w:space="0" w:color="2C5F8A"/>
              <w:right w:val="single" w:sz="4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B355D1E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9"/>
                <w:szCs w:val="19"/>
              </w:rPr>
              <w:t>Role</w:t>
            </w:r>
          </w:p>
        </w:tc>
      </w:tr>
      <w:tr w:rsidR="003E0DC1" w:rsidRPr="00AB0EB1" w14:paraId="75796D9D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4A8944A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i/>
                <w:iCs/>
                <w:sz w:val="19"/>
                <w:szCs w:val="19"/>
              </w:rPr>
              <w:t>EcoRI adaptor 1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24D9A59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CTCGTAGACTGCGTACC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6271C68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Adaptor annealing to EcoRI-cut ends</w:t>
            </w:r>
          </w:p>
        </w:tc>
      </w:tr>
      <w:tr w:rsidR="003E0DC1" w:rsidRPr="00AB0EB1" w14:paraId="3BD4C7F2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E6F03D7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EcoRI adaptor 2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3F326D9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AATTGGTACGCAGTCTAC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2262134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Adaptor annealing to EcoRI-cut ends</w:t>
            </w:r>
          </w:p>
        </w:tc>
      </w:tr>
      <w:tr w:rsidR="003E0DC1" w:rsidRPr="00AB0EB1" w14:paraId="5A97F3C1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D0752B9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i/>
                <w:iCs/>
                <w:sz w:val="19"/>
                <w:szCs w:val="19"/>
              </w:rPr>
              <w:t>PstI adaptor 1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CFD6BCE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CTCGTAGACTGCGTACATGCA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11DAD8E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Adaptor annealing to PstI-cut ends</w:t>
            </w:r>
          </w:p>
        </w:tc>
      </w:tr>
      <w:tr w:rsidR="003E0DC1" w:rsidRPr="00AB0EB1" w14:paraId="2A5EBCD9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26F24C8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PstI adaptor 2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CE2D530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TGTACGCAGTCTACG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51965AF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Adaptor annealing to PstI-cut ends</w:t>
            </w:r>
          </w:p>
        </w:tc>
      </w:tr>
      <w:tr w:rsidR="003E0DC1" w:rsidRPr="00AB0EB1" w14:paraId="6D8456F7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F7F953F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i/>
                <w:iCs/>
                <w:sz w:val="19"/>
                <w:szCs w:val="19"/>
              </w:rPr>
              <w:t>EcoRI+A (pre-selective)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C8D3F25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GACTGCGTACCAATTCA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1BC3D31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Pre-selective amplification</w:t>
            </w:r>
          </w:p>
        </w:tc>
      </w:tr>
      <w:tr w:rsidR="003E0DC1" w:rsidRPr="00AB0EB1" w14:paraId="79D77B65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9093D97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PstI+A (pre-selective)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28C8712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GACTGCGTACATGCAGA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426A6BE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Pre-selective amplification</w:t>
            </w:r>
          </w:p>
        </w:tc>
      </w:tr>
      <w:tr w:rsidR="003E0DC1" w:rsidRPr="00AB0EB1" w14:paraId="079FBD69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AA5D09E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i/>
                <w:iCs/>
                <w:sz w:val="19"/>
                <w:szCs w:val="19"/>
              </w:rPr>
              <w:t>PstI+ACG (selective)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6413237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GACTGCGTACATGCAGACG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E302247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Selective amplification</w:t>
            </w:r>
          </w:p>
        </w:tc>
      </w:tr>
      <w:tr w:rsidR="003E0DC1" w:rsidRPr="00AB0EB1" w14:paraId="0EEF14CF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63220CA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PstI+AGT (selective)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C20AF57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GACTGCGTACATGCAGAGT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CF35ACC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Selective amplification</w:t>
            </w:r>
          </w:p>
        </w:tc>
      </w:tr>
      <w:tr w:rsidR="003E0DC1" w:rsidRPr="00AB0EB1" w14:paraId="5DD1E411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4FE14BB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i/>
                <w:iCs/>
                <w:sz w:val="19"/>
                <w:szCs w:val="19"/>
              </w:rPr>
              <w:t>PstI+AAC (selective)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26E0102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GACTGCGTACATGCAGAAC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129709B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Selective amplification</w:t>
            </w:r>
          </w:p>
        </w:tc>
      </w:tr>
      <w:tr w:rsidR="003E0DC1" w:rsidRPr="00AB0EB1" w14:paraId="51336F31" w14:textId="77777777" w:rsidTr="00112AA8"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8274075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lastRenderedPageBreak/>
              <w:t>PstI+ATC (selective)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4E0B200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eastAsia="Courier New" w:hAnsi="Calibri" w:cs="Calibri"/>
                <w:sz w:val="18"/>
                <w:szCs w:val="18"/>
              </w:rPr>
              <w:t>GACTGCGTACATGCAGACAT</w:t>
            </w:r>
          </w:p>
        </w:tc>
        <w:tc>
          <w:tcPr>
            <w:tcW w:w="3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3FA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B19A09C" w14:textId="77777777" w:rsidR="00A77E08" w:rsidRPr="00AB0EB1" w:rsidRDefault="00A77E08" w:rsidP="00A77E08">
            <w:pPr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9"/>
                <w:szCs w:val="19"/>
              </w:rPr>
              <w:t>Selective amplification</w:t>
            </w:r>
          </w:p>
        </w:tc>
      </w:tr>
    </w:tbl>
    <w:p w14:paraId="3D3D81A5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sz w:val="19"/>
          <w:szCs w:val="19"/>
        </w:rPr>
        <w:t>Selective PstI primers were each paired individually with the FAM-labelled EcoRI primer in separate selective PCR reactions, yielding four primer combinations per individual.</w:t>
      </w:r>
    </w:p>
    <w:p w14:paraId="7BA35E6B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456A3A03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Table S3.</w:t>
      </w:r>
      <w:r w:rsidRPr="00AB0EB1">
        <w:rPr>
          <w:rFonts w:ascii="Calibri" w:hAnsi="Calibri" w:cs="Calibri"/>
        </w:rPr>
        <w:t xml:space="preserve"> Mantel test statistics for </w:t>
      </w:r>
      <w:r w:rsidRPr="00AB0EB1">
        <w:rPr>
          <w:rFonts w:ascii="Calibri" w:hAnsi="Calibri" w:cs="Calibri"/>
          <w:i/>
          <w:iCs/>
        </w:rPr>
        <w:t>Chrysomya albiceps</w:t>
      </w:r>
      <w:r w:rsidRPr="00AB0EB1">
        <w:rPr>
          <w:rFonts w:ascii="Calibri" w:hAnsi="Calibri" w:cs="Calibri"/>
        </w:rPr>
        <w:t>: correlation between geographic (km) and genetic (Φ</w:t>
      </w:r>
      <w:r w:rsidRPr="00AB0EB1">
        <w:rPr>
          <w:rFonts w:ascii="Calibri" w:hAnsi="Calibri" w:cs="Calibri"/>
          <w:vertAlign w:val="subscript"/>
        </w:rPr>
        <w:t>PT</w:t>
      </w:r>
      <w:r w:rsidRPr="00AB0EB1">
        <w:rPr>
          <w:rFonts w:ascii="Calibri" w:hAnsi="Calibri" w:cs="Calibri"/>
        </w:rPr>
        <w:t>) distance matrices based on 999 permutations.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3E0DC1" w:rsidRPr="00AB0EB1" w14:paraId="4C8BEA8F" w14:textId="77777777" w:rsidTr="00112AA8">
        <w:trPr>
          <w:tblHeader/>
        </w:trPr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406AC5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SSx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CCDB4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SSy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C2678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SPxy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C864A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Rxy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187D4E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P(rxy-rand ≥ rxy-data)</w:t>
            </w:r>
          </w:p>
        </w:tc>
      </w:tr>
      <w:tr w:rsidR="00A77E08" w:rsidRPr="00AB0EB1" w14:paraId="432105E1" w14:textId="77777777" w:rsidTr="00112AA8"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B245E5" w14:textId="77777777" w:rsidR="00A77E08" w:rsidRPr="00AB0EB1" w:rsidRDefault="00A77E08" w:rsidP="00112AA8">
            <w:pPr>
              <w:spacing w:line="360" w:lineRule="auto"/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60,384.408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3022C9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0.0181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B31C29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−12.879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C3201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−0.388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27136D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0.326</w:t>
            </w:r>
          </w:p>
        </w:tc>
      </w:tr>
    </w:tbl>
    <w:p w14:paraId="64EB54F0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332670FA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Table S4.</w:t>
      </w:r>
      <w:r w:rsidRPr="00AB0EB1">
        <w:rPr>
          <w:rFonts w:ascii="Calibri" w:hAnsi="Calibri" w:cs="Calibri"/>
        </w:rPr>
        <w:t xml:space="preserve"> Mantel test statistics for </w:t>
      </w:r>
      <w:r w:rsidRPr="00AB0EB1">
        <w:rPr>
          <w:rFonts w:ascii="Calibri" w:hAnsi="Calibri" w:cs="Calibri"/>
          <w:i/>
          <w:iCs/>
        </w:rPr>
        <w:t>Chrysomya marginalis</w:t>
      </w:r>
      <w:r w:rsidRPr="00AB0EB1">
        <w:rPr>
          <w:rFonts w:ascii="Calibri" w:hAnsi="Calibri" w:cs="Calibri"/>
        </w:rPr>
        <w:t>: correlation between geographic (km) and genetic (Φ</w:t>
      </w:r>
      <w:r w:rsidRPr="00AB0EB1">
        <w:rPr>
          <w:rFonts w:ascii="Calibri" w:hAnsi="Calibri" w:cs="Calibri"/>
          <w:vertAlign w:val="subscript"/>
        </w:rPr>
        <w:t>PT</w:t>
      </w:r>
      <w:r w:rsidRPr="00AB0EB1">
        <w:rPr>
          <w:rFonts w:ascii="Calibri" w:hAnsi="Calibri" w:cs="Calibri"/>
        </w:rPr>
        <w:t>) distance matrices based on 999 permutations.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3E0DC1" w:rsidRPr="00AB0EB1" w14:paraId="6585FF8A" w14:textId="77777777" w:rsidTr="00112AA8">
        <w:trPr>
          <w:tblHeader/>
        </w:trPr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8EEF9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SSx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4C397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SSy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0385D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SPxy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F570C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Rxy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B4C96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b/>
                <w:bCs/>
                <w:sz w:val="18"/>
                <w:szCs w:val="18"/>
              </w:rPr>
              <w:t>P(rxy-rand ≥ rxy-data)</w:t>
            </w:r>
          </w:p>
        </w:tc>
      </w:tr>
      <w:tr w:rsidR="00A77E08" w:rsidRPr="00AB0EB1" w14:paraId="2B968CB8" w14:textId="77777777" w:rsidTr="00112AA8"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A94472" w14:textId="77777777" w:rsidR="00A77E08" w:rsidRPr="00AB0EB1" w:rsidRDefault="00A77E08" w:rsidP="00112AA8">
            <w:pPr>
              <w:spacing w:line="360" w:lineRule="auto"/>
              <w:contextualSpacing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50,080.149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B3B828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0.000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ACC235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4.294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A31F67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0.872</w:t>
            </w:r>
          </w:p>
        </w:tc>
        <w:tc>
          <w:tcPr>
            <w:tcW w:w="18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F89C72" w14:textId="77777777" w:rsidR="00A77E08" w:rsidRPr="00AB0EB1" w:rsidRDefault="00A77E08" w:rsidP="00112AA8">
            <w:pPr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AB0EB1">
              <w:rPr>
                <w:rFonts w:ascii="Calibri" w:hAnsi="Calibri" w:cs="Calibri"/>
                <w:sz w:val="18"/>
                <w:szCs w:val="18"/>
              </w:rPr>
              <w:t>0.340</w:t>
            </w:r>
          </w:p>
        </w:tc>
      </w:tr>
    </w:tbl>
    <w:p w14:paraId="49A13760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48D6311F" w14:textId="77777777" w:rsidR="00A77E08" w:rsidRPr="00AB0EB1" w:rsidRDefault="00A77E08" w:rsidP="00A77E08">
      <w:pPr>
        <w:rPr>
          <w:rFonts w:ascii="Calibri" w:hAnsi="Calibri" w:cs="Calibri"/>
        </w:rPr>
      </w:pPr>
      <w:r w:rsidRPr="00AB0EB1">
        <w:rPr>
          <w:rFonts w:ascii="Calibri" w:hAnsi="Calibri" w:cs="Calibri"/>
        </w:rPr>
        <w:br w:type="page"/>
      </w:r>
    </w:p>
    <w:p w14:paraId="5C274488" w14:textId="77777777" w:rsidR="00A77E08" w:rsidRPr="00AB0EB1" w:rsidRDefault="00A77E08" w:rsidP="00A77E08">
      <w:pPr>
        <w:pStyle w:val="Heading2"/>
        <w:spacing w:before="0" w:after="0" w:line="360" w:lineRule="auto"/>
        <w:contextualSpacing/>
        <w:rPr>
          <w:rFonts w:ascii="Calibri" w:hAnsi="Calibri" w:cs="Calibri"/>
          <w:color w:val="auto"/>
        </w:rPr>
      </w:pPr>
      <w:r w:rsidRPr="00AB0EB1">
        <w:rPr>
          <w:rFonts w:ascii="Calibri" w:hAnsi="Calibri" w:cs="Calibri"/>
          <w:color w:val="auto"/>
        </w:rPr>
        <w:lastRenderedPageBreak/>
        <w:t>Supplementary Figures</w:t>
      </w:r>
    </w:p>
    <w:p w14:paraId="106EF9C8" w14:textId="77777777" w:rsidR="00035180" w:rsidRPr="00AB0EB1" w:rsidRDefault="00035180" w:rsidP="00035180">
      <w:pPr>
        <w:rPr>
          <w:rFonts w:ascii="Calibri" w:hAnsi="Calibri" w:cs="Calibri"/>
        </w:rPr>
      </w:pPr>
    </w:p>
    <w:p w14:paraId="697D002D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AB0EB1">
        <w:rPr>
          <w:rFonts w:ascii="Calibri" w:hAnsi="Calibri" w:cs="Calibri"/>
          <w:noProof/>
        </w:rPr>
        <w:drawing>
          <wp:inline distT="0" distB="0" distL="0" distR="0" wp14:anchorId="027C2125" wp14:editId="6F102E21">
            <wp:extent cx="4464996" cy="2738958"/>
            <wp:effectExtent l="0" t="0" r="12065" b="2349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AB863A0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Figure S1.</w:t>
      </w:r>
      <w:r w:rsidRPr="00AB0EB1">
        <w:rPr>
          <w:rFonts w:ascii="Calibri" w:hAnsi="Calibri" w:cs="Calibri"/>
        </w:rPr>
        <w:t xml:space="preserve"> Mantel test scatter plot: geographic distance (km) versus genetic distance (Φ</w:t>
      </w:r>
      <w:r w:rsidRPr="00AB0EB1">
        <w:rPr>
          <w:rFonts w:ascii="Calibri" w:hAnsi="Calibri" w:cs="Calibri"/>
          <w:vertAlign w:val="subscript"/>
        </w:rPr>
        <w:t>PT</w:t>
      </w:r>
      <w:r w:rsidRPr="00AB0EB1">
        <w:rPr>
          <w:rFonts w:ascii="Calibri" w:hAnsi="Calibri" w:cs="Calibri"/>
        </w:rPr>
        <w:t xml:space="preserve">) for </w:t>
      </w:r>
      <w:r w:rsidRPr="00AB0EB1">
        <w:rPr>
          <w:rFonts w:ascii="Calibri" w:hAnsi="Calibri" w:cs="Calibri"/>
          <w:i/>
          <w:iCs/>
        </w:rPr>
        <w:t>Chrysomya albiceps</w:t>
      </w:r>
      <w:r w:rsidRPr="00AB0EB1">
        <w:rPr>
          <w:rFonts w:ascii="Calibri" w:hAnsi="Calibri" w:cs="Calibri"/>
        </w:rPr>
        <w:t>. Each point represents a pairwise population comparison.</w:t>
      </w:r>
    </w:p>
    <w:p w14:paraId="0ED2EDBC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</w:rPr>
      </w:pPr>
    </w:p>
    <w:p w14:paraId="4CF6FB78" w14:textId="77777777" w:rsidR="00A77E08" w:rsidRPr="00AB0EB1" w:rsidRDefault="00A77E08" w:rsidP="00A77E08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AB0EB1">
        <w:rPr>
          <w:rFonts w:ascii="Calibri" w:hAnsi="Calibri" w:cs="Calibri"/>
          <w:noProof/>
        </w:rPr>
        <w:drawing>
          <wp:inline distT="0" distB="0" distL="0" distR="0" wp14:anchorId="5AC68FD7" wp14:editId="0E891296">
            <wp:extent cx="4457700" cy="2524125"/>
            <wp:effectExtent l="0" t="0" r="19050" b="952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A1A10F2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</w:rPr>
      </w:pPr>
    </w:p>
    <w:p w14:paraId="1508F267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Figure S2.</w:t>
      </w:r>
      <w:r w:rsidRPr="00AB0EB1">
        <w:rPr>
          <w:rFonts w:ascii="Calibri" w:hAnsi="Calibri" w:cs="Calibri"/>
        </w:rPr>
        <w:t xml:space="preserve"> AFLPOP </w:t>
      </w:r>
      <w:r w:rsidRPr="00AB0EB1">
        <w:rPr>
          <w:rFonts w:ascii="Calibri" w:hAnsi="Calibri" w:cs="Calibri"/>
          <w:i/>
          <w:iCs/>
        </w:rPr>
        <w:t>Simulation</w:t>
      </w:r>
      <w:r w:rsidRPr="00AB0EB1">
        <w:rPr>
          <w:rFonts w:ascii="Calibri" w:hAnsi="Calibri" w:cs="Calibri"/>
        </w:rPr>
        <w:t xml:space="preserve"> allocation matrix for </w:t>
      </w:r>
      <w:r w:rsidRPr="00AB0EB1">
        <w:rPr>
          <w:rFonts w:ascii="Calibri" w:hAnsi="Calibri" w:cs="Calibri"/>
          <w:i/>
          <w:iCs/>
        </w:rPr>
        <w:t>Chrysomya albiceps</w:t>
      </w:r>
      <w:r w:rsidRPr="00AB0EB1">
        <w:rPr>
          <w:rFonts w:ascii="Calibri" w:hAnsi="Calibri" w:cs="Calibri"/>
        </w:rPr>
        <w:t xml:space="preserve"> (MLD = 1). Bars represent the proportion of 1,000 simulated genotypes per source population correctly assigned to each putative destination.</w:t>
      </w:r>
    </w:p>
    <w:p w14:paraId="13480EC5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4E6B5BA1" w14:textId="77777777" w:rsidR="00A77E08" w:rsidRPr="00AB0EB1" w:rsidRDefault="00A77E08" w:rsidP="00A77E08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AB0EB1">
        <w:rPr>
          <w:rFonts w:ascii="Calibri" w:hAnsi="Calibri" w:cs="Calibri"/>
          <w:noProof/>
        </w:rPr>
        <w:lastRenderedPageBreak/>
        <w:drawing>
          <wp:inline distT="0" distB="0" distL="0" distR="0" wp14:anchorId="3B9AB20D" wp14:editId="38AD60FC">
            <wp:extent cx="4458430" cy="2743200"/>
            <wp:effectExtent l="0" t="0" r="18415" b="1905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7A714F2" w14:textId="77777777" w:rsidR="00A77E08" w:rsidRPr="00AB0EB1" w:rsidRDefault="00A77E08" w:rsidP="00A77E08">
      <w:pPr>
        <w:autoSpaceDE w:val="0"/>
        <w:autoSpaceDN w:val="0"/>
        <w:adjustRightInd w:val="0"/>
        <w:spacing w:line="360" w:lineRule="auto"/>
        <w:contextualSpacing/>
        <w:rPr>
          <w:rFonts w:ascii="Calibri" w:hAnsi="Calibri" w:cs="Calibri"/>
          <w:b/>
          <w:bCs/>
          <w:noProof/>
        </w:rPr>
      </w:pPr>
    </w:p>
    <w:p w14:paraId="2FDB3925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Figure S3.</w:t>
      </w:r>
      <w:r w:rsidRPr="00AB0EB1">
        <w:rPr>
          <w:rFonts w:ascii="Calibri" w:hAnsi="Calibri" w:cs="Calibri"/>
        </w:rPr>
        <w:t xml:space="preserve"> AFLPOP </w:t>
      </w:r>
      <w:r w:rsidRPr="00AB0EB1">
        <w:rPr>
          <w:rFonts w:ascii="Calibri" w:hAnsi="Calibri" w:cs="Calibri"/>
          <w:i/>
          <w:iCs/>
        </w:rPr>
        <w:t>Re-allocation</w:t>
      </w:r>
      <w:r w:rsidRPr="00AB0EB1">
        <w:rPr>
          <w:rFonts w:ascii="Calibri" w:hAnsi="Calibri" w:cs="Calibri"/>
        </w:rPr>
        <w:t xml:space="preserve"> allocation matrix for </w:t>
      </w:r>
      <w:r w:rsidRPr="00AB0EB1">
        <w:rPr>
          <w:rFonts w:ascii="Calibri" w:hAnsi="Calibri" w:cs="Calibri"/>
          <w:i/>
          <w:iCs/>
        </w:rPr>
        <w:t>Chrysomya albiceps</w:t>
      </w:r>
      <w:r w:rsidRPr="00AB0EB1">
        <w:rPr>
          <w:rFonts w:ascii="Calibri" w:hAnsi="Calibri" w:cs="Calibri"/>
        </w:rPr>
        <w:t xml:space="preserve"> (MLD = 1). Bars represent the proportion of 77 empirical individuals assigned to each putative destination population.</w:t>
      </w:r>
    </w:p>
    <w:p w14:paraId="082C00E2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</w:rPr>
      </w:pPr>
    </w:p>
    <w:p w14:paraId="1B2A99AC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AB0EB1">
        <w:rPr>
          <w:rFonts w:ascii="Calibri" w:hAnsi="Calibri" w:cs="Calibri"/>
          <w:noProof/>
        </w:rPr>
        <w:drawing>
          <wp:inline distT="0" distB="0" distL="0" distR="0" wp14:anchorId="6E6E693A" wp14:editId="1CC7D36E">
            <wp:extent cx="4455269" cy="2286000"/>
            <wp:effectExtent l="0" t="0" r="21590" b="1905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C561E78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</w:rPr>
      </w:pPr>
    </w:p>
    <w:p w14:paraId="1EDBCA45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Figure S4.</w:t>
      </w:r>
      <w:r w:rsidRPr="00AB0EB1">
        <w:rPr>
          <w:rFonts w:ascii="Calibri" w:hAnsi="Calibri" w:cs="Calibri"/>
        </w:rPr>
        <w:t xml:space="preserve"> Mantel test scatter plot: geographic distance (km) versus genetic distance (Φ</w:t>
      </w:r>
      <w:r w:rsidRPr="00AB0EB1">
        <w:rPr>
          <w:rFonts w:ascii="Calibri" w:hAnsi="Calibri" w:cs="Calibri"/>
          <w:vertAlign w:val="subscript"/>
        </w:rPr>
        <w:t>PT</w:t>
      </w:r>
      <w:r w:rsidRPr="00AB0EB1">
        <w:rPr>
          <w:rFonts w:ascii="Calibri" w:hAnsi="Calibri" w:cs="Calibri"/>
        </w:rPr>
        <w:t xml:space="preserve">) for </w:t>
      </w:r>
      <w:r w:rsidRPr="00AB0EB1">
        <w:rPr>
          <w:rFonts w:ascii="Calibri" w:hAnsi="Calibri" w:cs="Calibri"/>
          <w:i/>
          <w:iCs/>
        </w:rPr>
        <w:t>Chrysomya marginalis</w:t>
      </w:r>
      <w:r w:rsidRPr="00AB0EB1">
        <w:rPr>
          <w:rFonts w:ascii="Calibri" w:hAnsi="Calibri" w:cs="Calibri"/>
        </w:rPr>
        <w:t>.</w:t>
      </w:r>
    </w:p>
    <w:p w14:paraId="70EB8963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</w:p>
    <w:p w14:paraId="17029061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</w:rPr>
      </w:pPr>
      <w:r w:rsidRPr="00AB0EB1">
        <w:rPr>
          <w:rFonts w:ascii="Calibri" w:hAnsi="Calibri" w:cs="Calibri"/>
          <w:noProof/>
        </w:rPr>
        <w:lastRenderedPageBreak/>
        <w:drawing>
          <wp:inline distT="0" distB="0" distL="0" distR="0" wp14:anchorId="3906D217" wp14:editId="55B69FDC">
            <wp:extent cx="4464996" cy="2583315"/>
            <wp:effectExtent l="0" t="0" r="12065" b="26670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869A4FD" w14:textId="77777777" w:rsidR="00A77E08" w:rsidRPr="00AB0EB1" w:rsidRDefault="00A77E08" w:rsidP="00A77E08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Figure S5.</w:t>
      </w:r>
      <w:r w:rsidRPr="00AB0EB1">
        <w:rPr>
          <w:rFonts w:ascii="Calibri" w:hAnsi="Calibri" w:cs="Calibri"/>
        </w:rPr>
        <w:t xml:space="preserve"> AFLPOP </w:t>
      </w:r>
      <w:r w:rsidRPr="00AB0EB1">
        <w:rPr>
          <w:rFonts w:ascii="Calibri" w:hAnsi="Calibri" w:cs="Calibri"/>
          <w:i/>
          <w:iCs/>
        </w:rPr>
        <w:t>Simulation</w:t>
      </w:r>
      <w:r w:rsidRPr="00AB0EB1">
        <w:rPr>
          <w:rFonts w:ascii="Calibri" w:hAnsi="Calibri" w:cs="Calibri"/>
        </w:rPr>
        <w:t xml:space="preserve"> allocation matrix for </w:t>
      </w:r>
      <w:r w:rsidRPr="00AB0EB1">
        <w:rPr>
          <w:rFonts w:ascii="Calibri" w:hAnsi="Calibri" w:cs="Calibri"/>
          <w:i/>
          <w:iCs/>
        </w:rPr>
        <w:t>Chrysomya marginalis</w:t>
      </w:r>
      <w:r w:rsidRPr="00AB0EB1">
        <w:rPr>
          <w:rFonts w:ascii="Calibri" w:hAnsi="Calibri" w:cs="Calibri"/>
        </w:rPr>
        <w:t xml:space="preserve"> (MLD = 13). Bars represent the proportion of 1,000 simulated genotypes per source population correctly assigned to each putative destination.</w:t>
      </w:r>
    </w:p>
    <w:p w14:paraId="67EB7040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</w:rPr>
      </w:pPr>
    </w:p>
    <w:p w14:paraId="4E3E2822" w14:textId="77777777" w:rsidR="00A77E08" w:rsidRPr="00AB0EB1" w:rsidRDefault="00A77E08" w:rsidP="00A77E08">
      <w:pPr>
        <w:spacing w:line="360" w:lineRule="auto"/>
        <w:contextualSpacing/>
        <w:jc w:val="center"/>
        <w:rPr>
          <w:rFonts w:ascii="Calibri" w:hAnsi="Calibri" w:cs="Calibri"/>
        </w:rPr>
      </w:pPr>
      <w:r w:rsidRPr="00AB0EB1">
        <w:rPr>
          <w:rFonts w:ascii="Calibri" w:hAnsi="Calibri" w:cs="Calibri"/>
          <w:noProof/>
        </w:rPr>
        <w:drawing>
          <wp:inline distT="0" distB="0" distL="0" distR="0" wp14:anchorId="5A1F9D27" wp14:editId="09DCC008">
            <wp:extent cx="4455269" cy="2924972"/>
            <wp:effectExtent l="0" t="0" r="21590" b="2794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5CCA829" w14:textId="1AAA0A1A" w:rsidR="00A77E08" w:rsidRPr="00AB0EB1" w:rsidRDefault="00A77E08" w:rsidP="00D1415C">
      <w:pPr>
        <w:spacing w:line="360" w:lineRule="auto"/>
        <w:contextualSpacing/>
        <w:rPr>
          <w:rFonts w:ascii="Calibri" w:hAnsi="Calibri" w:cs="Calibri"/>
        </w:rPr>
      </w:pPr>
      <w:r w:rsidRPr="00AB0EB1">
        <w:rPr>
          <w:rFonts w:ascii="Calibri" w:hAnsi="Calibri" w:cs="Calibri"/>
          <w:b/>
          <w:bCs/>
        </w:rPr>
        <w:t>Figure S6.</w:t>
      </w:r>
      <w:r w:rsidRPr="00AB0EB1">
        <w:rPr>
          <w:rFonts w:ascii="Calibri" w:hAnsi="Calibri" w:cs="Calibri"/>
        </w:rPr>
        <w:t xml:space="preserve"> AFLPOP </w:t>
      </w:r>
      <w:r w:rsidRPr="00AB0EB1">
        <w:rPr>
          <w:rFonts w:ascii="Calibri" w:hAnsi="Calibri" w:cs="Calibri"/>
          <w:i/>
          <w:iCs/>
        </w:rPr>
        <w:t>Re-allocation</w:t>
      </w:r>
      <w:r w:rsidRPr="00AB0EB1">
        <w:rPr>
          <w:rFonts w:ascii="Calibri" w:hAnsi="Calibri" w:cs="Calibri"/>
        </w:rPr>
        <w:t xml:space="preserve"> allocation matrix for </w:t>
      </w:r>
      <w:r w:rsidRPr="00AB0EB1">
        <w:rPr>
          <w:rFonts w:ascii="Calibri" w:hAnsi="Calibri" w:cs="Calibri"/>
          <w:i/>
          <w:iCs/>
        </w:rPr>
        <w:t>Chrysomya marginalis</w:t>
      </w:r>
      <w:r w:rsidRPr="00AB0EB1">
        <w:rPr>
          <w:rFonts w:ascii="Calibri" w:hAnsi="Calibri" w:cs="Calibri"/>
        </w:rPr>
        <w:t xml:space="preserve"> (MLD = 13). Bars represent the proportion of 27 empirical individuals assigned to each putative destination population.</w:t>
      </w:r>
    </w:p>
    <w:sectPr w:rsidR="00A77E08" w:rsidRPr="00AB0EB1" w:rsidSect="000001BD">
      <w:footerReference w:type="default" r:id="rId14"/>
      <w:pgSz w:w="11906" w:h="16838" w:code="9"/>
      <w:pgMar w:top="1440" w:right="1440" w:bottom="1440" w:left="1440" w:header="708" w:footer="708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5774" w14:textId="77777777" w:rsidR="003D126B" w:rsidRDefault="003D126B" w:rsidP="00921F9E">
      <w:r>
        <w:separator/>
      </w:r>
    </w:p>
  </w:endnote>
  <w:endnote w:type="continuationSeparator" w:id="0">
    <w:p w14:paraId="3575727A" w14:textId="77777777" w:rsidR="003D126B" w:rsidRDefault="003D126B" w:rsidP="0092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35405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BFA4BB" w14:textId="77777777" w:rsidR="00A77E08" w:rsidRDefault="00A77E08">
        <w:pPr>
          <w:pStyle w:val="Footer"/>
          <w:jc w:val="center"/>
        </w:pPr>
        <w:r w:rsidRPr="00A77E08">
          <w:rPr>
            <w:rFonts w:ascii="Calibri" w:hAnsi="Calibri" w:cs="Calibri"/>
          </w:rPr>
          <w:fldChar w:fldCharType="begin"/>
        </w:r>
        <w:r w:rsidRPr="00A77E08">
          <w:rPr>
            <w:rFonts w:ascii="Calibri" w:hAnsi="Calibri" w:cs="Calibri"/>
          </w:rPr>
          <w:instrText xml:space="preserve"> PAGE   \* MERGEFORMAT </w:instrText>
        </w:r>
        <w:r w:rsidRPr="00A77E08">
          <w:rPr>
            <w:rFonts w:ascii="Calibri" w:hAnsi="Calibri" w:cs="Calibri"/>
          </w:rPr>
          <w:fldChar w:fldCharType="separate"/>
        </w:r>
        <w:r w:rsidRPr="00A77E08">
          <w:rPr>
            <w:rFonts w:ascii="Calibri" w:hAnsi="Calibri" w:cs="Calibri"/>
            <w:noProof/>
          </w:rPr>
          <w:t>2</w:t>
        </w:r>
        <w:r w:rsidRPr="00A77E08">
          <w:rPr>
            <w:rFonts w:ascii="Calibri" w:hAnsi="Calibri" w:cs="Calibri"/>
            <w:noProof/>
          </w:rPr>
          <w:fldChar w:fldCharType="end"/>
        </w:r>
      </w:p>
    </w:sdtContent>
  </w:sdt>
  <w:p w14:paraId="771F921E" w14:textId="77777777" w:rsidR="00A77E08" w:rsidRDefault="00A77E08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FD0FE" w14:textId="77777777" w:rsidR="003D126B" w:rsidRDefault="003D126B" w:rsidP="00921F9E">
      <w:r>
        <w:separator/>
      </w:r>
    </w:p>
  </w:footnote>
  <w:footnote w:type="continuationSeparator" w:id="0">
    <w:p w14:paraId="260A9B4E" w14:textId="77777777" w:rsidR="003D126B" w:rsidRDefault="003D126B" w:rsidP="00921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25566"/>
    <w:multiLevelType w:val="hybridMultilevel"/>
    <w:tmpl w:val="6F907B62"/>
    <w:lvl w:ilvl="0" w:tplc="C144CDBA">
      <w:start w:val="1"/>
      <w:numFmt w:val="bullet"/>
      <w:lvlText w:val="●"/>
      <w:lvlJc w:val="left"/>
      <w:pPr>
        <w:ind w:left="720" w:hanging="360"/>
      </w:pPr>
    </w:lvl>
    <w:lvl w:ilvl="1" w:tplc="0B2625D0">
      <w:start w:val="1"/>
      <w:numFmt w:val="bullet"/>
      <w:lvlText w:val="○"/>
      <w:lvlJc w:val="left"/>
      <w:pPr>
        <w:ind w:left="1440" w:hanging="360"/>
      </w:pPr>
    </w:lvl>
    <w:lvl w:ilvl="2" w:tplc="F27299E6">
      <w:start w:val="1"/>
      <w:numFmt w:val="bullet"/>
      <w:lvlText w:val="■"/>
      <w:lvlJc w:val="left"/>
      <w:pPr>
        <w:ind w:left="2160" w:hanging="360"/>
      </w:pPr>
    </w:lvl>
    <w:lvl w:ilvl="3" w:tplc="A2FC20E8">
      <w:start w:val="1"/>
      <w:numFmt w:val="bullet"/>
      <w:lvlText w:val="●"/>
      <w:lvlJc w:val="left"/>
      <w:pPr>
        <w:ind w:left="2880" w:hanging="360"/>
      </w:pPr>
    </w:lvl>
    <w:lvl w:ilvl="4" w:tplc="B56ED3D8">
      <w:start w:val="1"/>
      <w:numFmt w:val="bullet"/>
      <w:lvlText w:val="○"/>
      <w:lvlJc w:val="left"/>
      <w:pPr>
        <w:ind w:left="3600" w:hanging="360"/>
      </w:pPr>
    </w:lvl>
    <w:lvl w:ilvl="5" w:tplc="C4E05CD6">
      <w:start w:val="1"/>
      <w:numFmt w:val="bullet"/>
      <w:lvlText w:val="■"/>
      <w:lvlJc w:val="left"/>
      <w:pPr>
        <w:ind w:left="4320" w:hanging="360"/>
      </w:pPr>
    </w:lvl>
    <w:lvl w:ilvl="6" w:tplc="DE6A2C0C">
      <w:start w:val="1"/>
      <w:numFmt w:val="bullet"/>
      <w:lvlText w:val="●"/>
      <w:lvlJc w:val="left"/>
      <w:pPr>
        <w:ind w:left="5040" w:hanging="360"/>
      </w:pPr>
    </w:lvl>
    <w:lvl w:ilvl="7" w:tplc="212C1516">
      <w:start w:val="1"/>
      <w:numFmt w:val="bullet"/>
      <w:lvlText w:val="●"/>
      <w:lvlJc w:val="left"/>
      <w:pPr>
        <w:ind w:left="5760" w:hanging="360"/>
      </w:pPr>
    </w:lvl>
    <w:lvl w:ilvl="8" w:tplc="3E04A2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700224"/>
    <w:multiLevelType w:val="multilevel"/>
    <w:tmpl w:val="88A6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B364E5"/>
    <w:multiLevelType w:val="multilevel"/>
    <w:tmpl w:val="F348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795142">
    <w:abstractNumId w:val="0"/>
    <w:lvlOverride w:ilvl="0">
      <w:startOverride w:val="1"/>
    </w:lvlOverride>
  </w:num>
  <w:num w:numId="2" w16cid:durableId="102313978">
    <w:abstractNumId w:val="1"/>
  </w:num>
  <w:num w:numId="3" w16cid:durableId="402411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8E"/>
    <w:rsid w:val="000001BD"/>
    <w:rsid w:val="00002262"/>
    <w:rsid w:val="00004141"/>
    <w:rsid w:val="00035180"/>
    <w:rsid w:val="0005025F"/>
    <w:rsid w:val="00064AA3"/>
    <w:rsid w:val="000A3D30"/>
    <w:rsid w:val="000F6B1C"/>
    <w:rsid w:val="00111CBB"/>
    <w:rsid w:val="00140A51"/>
    <w:rsid w:val="0015415C"/>
    <w:rsid w:val="00161BC7"/>
    <w:rsid w:val="0017104E"/>
    <w:rsid w:val="001730C2"/>
    <w:rsid w:val="00174236"/>
    <w:rsid w:val="001D5CA1"/>
    <w:rsid w:val="001F2796"/>
    <w:rsid w:val="00212FB0"/>
    <w:rsid w:val="002713C5"/>
    <w:rsid w:val="0027647D"/>
    <w:rsid w:val="00285CC3"/>
    <w:rsid w:val="00291D6E"/>
    <w:rsid w:val="002A46BF"/>
    <w:rsid w:val="002A6F2B"/>
    <w:rsid w:val="002B0835"/>
    <w:rsid w:val="002B4795"/>
    <w:rsid w:val="002C00E0"/>
    <w:rsid w:val="002C7344"/>
    <w:rsid w:val="002D45B8"/>
    <w:rsid w:val="002F0422"/>
    <w:rsid w:val="003533C3"/>
    <w:rsid w:val="003752F7"/>
    <w:rsid w:val="00390579"/>
    <w:rsid w:val="003B3ADA"/>
    <w:rsid w:val="003D126B"/>
    <w:rsid w:val="003D3DE4"/>
    <w:rsid w:val="003D7074"/>
    <w:rsid w:val="003E0DC1"/>
    <w:rsid w:val="00414D28"/>
    <w:rsid w:val="0047616E"/>
    <w:rsid w:val="004A3CB1"/>
    <w:rsid w:val="004C2DC0"/>
    <w:rsid w:val="004E76E7"/>
    <w:rsid w:val="00520011"/>
    <w:rsid w:val="00546840"/>
    <w:rsid w:val="0057691F"/>
    <w:rsid w:val="005B5409"/>
    <w:rsid w:val="005E4D29"/>
    <w:rsid w:val="00612D11"/>
    <w:rsid w:val="00620F3A"/>
    <w:rsid w:val="00621F50"/>
    <w:rsid w:val="006253F3"/>
    <w:rsid w:val="00641A8B"/>
    <w:rsid w:val="00641CF3"/>
    <w:rsid w:val="006435EA"/>
    <w:rsid w:val="0066640F"/>
    <w:rsid w:val="00680B2F"/>
    <w:rsid w:val="00696DDE"/>
    <w:rsid w:val="006A23A4"/>
    <w:rsid w:val="00723306"/>
    <w:rsid w:val="0072371F"/>
    <w:rsid w:val="00735FEE"/>
    <w:rsid w:val="0074046B"/>
    <w:rsid w:val="00741BD8"/>
    <w:rsid w:val="00751438"/>
    <w:rsid w:val="00754925"/>
    <w:rsid w:val="00762C76"/>
    <w:rsid w:val="0076369C"/>
    <w:rsid w:val="00763D17"/>
    <w:rsid w:val="007A0572"/>
    <w:rsid w:val="007A1070"/>
    <w:rsid w:val="007B31C2"/>
    <w:rsid w:val="007E7B8E"/>
    <w:rsid w:val="00811595"/>
    <w:rsid w:val="00821F15"/>
    <w:rsid w:val="00822F50"/>
    <w:rsid w:val="00850AF4"/>
    <w:rsid w:val="00860F7C"/>
    <w:rsid w:val="00921F9E"/>
    <w:rsid w:val="00945092"/>
    <w:rsid w:val="009970B1"/>
    <w:rsid w:val="009A422D"/>
    <w:rsid w:val="009A7027"/>
    <w:rsid w:val="009C4718"/>
    <w:rsid w:val="009D4F3A"/>
    <w:rsid w:val="009D721E"/>
    <w:rsid w:val="009E48C0"/>
    <w:rsid w:val="009E6E58"/>
    <w:rsid w:val="009E70EF"/>
    <w:rsid w:val="00A03984"/>
    <w:rsid w:val="00A1159D"/>
    <w:rsid w:val="00A17EDB"/>
    <w:rsid w:val="00A32844"/>
    <w:rsid w:val="00A32B2A"/>
    <w:rsid w:val="00A36125"/>
    <w:rsid w:val="00A42E75"/>
    <w:rsid w:val="00A615E0"/>
    <w:rsid w:val="00A65821"/>
    <w:rsid w:val="00A71192"/>
    <w:rsid w:val="00A77844"/>
    <w:rsid w:val="00A77E08"/>
    <w:rsid w:val="00A817D8"/>
    <w:rsid w:val="00AA6516"/>
    <w:rsid w:val="00AB0EB1"/>
    <w:rsid w:val="00AB697A"/>
    <w:rsid w:val="00AC741B"/>
    <w:rsid w:val="00AD426D"/>
    <w:rsid w:val="00AF781D"/>
    <w:rsid w:val="00B05754"/>
    <w:rsid w:val="00B4241D"/>
    <w:rsid w:val="00B42781"/>
    <w:rsid w:val="00B63005"/>
    <w:rsid w:val="00B70006"/>
    <w:rsid w:val="00B85B08"/>
    <w:rsid w:val="00B944AA"/>
    <w:rsid w:val="00B95457"/>
    <w:rsid w:val="00BC18A8"/>
    <w:rsid w:val="00BD25CF"/>
    <w:rsid w:val="00BD50B7"/>
    <w:rsid w:val="00C11F10"/>
    <w:rsid w:val="00C126A5"/>
    <w:rsid w:val="00C427BF"/>
    <w:rsid w:val="00C549CF"/>
    <w:rsid w:val="00C62043"/>
    <w:rsid w:val="00C72DEE"/>
    <w:rsid w:val="00C75500"/>
    <w:rsid w:val="00C849BF"/>
    <w:rsid w:val="00C87CAA"/>
    <w:rsid w:val="00C914F3"/>
    <w:rsid w:val="00CE128D"/>
    <w:rsid w:val="00D1415C"/>
    <w:rsid w:val="00D36950"/>
    <w:rsid w:val="00D469D4"/>
    <w:rsid w:val="00D71C44"/>
    <w:rsid w:val="00D827F4"/>
    <w:rsid w:val="00DB249C"/>
    <w:rsid w:val="00DC5A06"/>
    <w:rsid w:val="00DE058B"/>
    <w:rsid w:val="00DF3BC8"/>
    <w:rsid w:val="00E138DC"/>
    <w:rsid w:val="00E141EB"/>
    <w:rsid w:val="00E23242"/>
    <w:rsid w:val="00E56F59"/>
    <w:rsid w:val="00E96F32"/>
    <w:rsid w:val="00EE013D"/>
    <w:rsid w:val="00EF7236"/>
    <w:rsid w:val="00F43FAD"/>
    <w:rsid w:val="00F51793"/>
    <w:rsid w:val="00F615F6"/>
    <w:rsid w:val="00F75C62"/>
    <w:rsid w:val="00F87597"/>
    <w:rsid w:val="00FB3B4B"/>
    <w:rsid w:val="00FE2D31"/>
    <w:rsid w:val="00FE735E"/>
    <w:rsid w:val="00FE78B7"/>
    <w:rsid w:val="00F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7C1C6"/>
  <w15:chartTrackingRefBased/>
  <w15:docId w15:val="{EBA8237F-BF82-441E-AAAA-5D15824F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E0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B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B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B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B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B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B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B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B8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E7B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B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B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1F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F9E"/>
  </w:style>
  <w:style w:type="paragraph" w:styleId="Footer">
    <w:name w:val="footer"/>
    <w:basedOn w:val="Normal"/>
    <w:link w:val="FooterChar"/>
    <w:uiPriority w:val="99"/>
    <w:unhideWhenUsed/>
    <w:rsid w:val="00921F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F9E"/>
  </w:style>
  <w:style w:type="character" w:styleId="Strong">
    <w:name w:val="Strong"/>
    <w:basedOn w:val="DefaultParagraphFont"/>
    <w:uiPriority w:val="22"/>
    <w:qFormat/>
    <w:rsid w:val="004C2D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C2DC0"/>
    <w:pPr>
      <w:spacing w:before="100" w:beforeAutospacing="1" w:after="100" w:afterAutospacing="1"/>
    </w:pPr>
    <w:rPr>
      <w:lang w:val="nl-BE" w:eastAsia="nl-BE"/>
    </w:rPr>
  </w:style>
  <w:style w:type="paragraph" w:customStyle="1" w:styleId="Strong1">
    <w:name w:val="Strong1"/>
    <w:qFormat/>
    <w:rsid w:val="00A77E0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A77E08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A77E08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A77E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7E0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uiPriority w:val="99"/>
    <w:semiHidden/>
    <w:unhideWhenUsed/>
    <w:rsid w:val="00A77E08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A77E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7E0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77E08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A77E0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77E0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351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001BD"/>
  </w:style>
  <w:style w:type="character" w:styleId="CommentReference">
    <w:name w:val="annotation reference"/>
    <w:basedOn w:val="DefaultParagraphFont"/>
    <w:uiPriority w:val="99"/>
    <w:semiHidden/>
    <w:unhideWhenUsed/>
    <w:rsid w:val="005769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9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91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9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91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nse\Desktop\file%20for%20alb%20genalex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nse\Desktop\alb%20AFLPOP\AFLPOP_Sim_Results%20MLD1%20todayeid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nse\Desktop\alb%20AFLPOP\AFLPOP_Results%20realMLD1%20today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nse\Desktop\file%20for%20marginalis%20genalex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nse\Desktop\marg%20AFLPOP\AFLPOP_Sim_Results%20new%20MLD14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nse\Desktop\marg%20AFLPOP\AFLPOP_Results%20MLD13%20final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/>
            </a:pPr>
            <a:r>
              <a:rPr lang="en-US"/>
              <a:t>GGD vs PhiPTP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7005188806440141"/>
          <c:y val="0.1705689302423366"/>
          <c:w val="0.59792640351749471"/>
          <c:h val="0.60239847763798915"/>
        </c:manualLayout>
      </c:layout>
      <c:scatterChart>
        <c:scatterStyle val="lineMarker"/>
        <c:varyColors val="0"/>
        <c:ser>
          <c:idx val="0"/>
          <c:order val="0"/>
          <c:tx>
            <c:strRef>
              <c:f>'GGDvPhiPTP MT'!$B$30</c:f>
              <c:strCache>
                <c:ptCount val="1"/>
                <c:pt idx="0">
                  <c:v>Y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RSqr val="1"/>
            <c:dispEq val="1"/>
            <c:trendlineLbl>
              <c:layout>
                <c:manualLayout>
                  <c:x val="4.4821653543307097E-2"/>
                  <c:y val="-0.22025393700787407"/>
                </c:manualLayout>
              </c:layout>
              <c:numFmt formatCode="General" sourceLinked="0"/>
            </c:trendlineLbl>
          </c:trendline>
          <c:xVal>
            <c:numRef>
              <c:f>'GGDvPhiPTP MT'!$A$31:$A$36</c:f>
              <c:numCache>
                <c:formatCode>0.000</c:formatCode>
                <c:ptCount val="6"/>
                <c:pt idx="0">
                  <c:v>274.0806884765625</c:v>
                </c:pt>
                <c:pt idx="1">
                  <c:v>213.80514526367188</c:v>
                </c:pt>
                <c:pt idx="2">
                  <c:v>440.07131958007813</c:v>
                </c:pt>
                <c:pt idx="3">
                  <c:v>107.08872985839844</c:v>
                </c:pt>
                <c:pt idx="4">
                  <c:v>282.78643798828125</c:v>
                </c:pt>
                <c:pt idx="5">
                  <c:v>309.9002685546875</c:v>
                </c:pt>
              </c:numCache>
            </c:numRef>
          </c:xVal>
          <c:yVal>
            <c:numRef>
              <c:f>'GGDvPhiPTP MT'!$B$31:$B$36</c:f>
              <c:numCache>
                <c:formatCode>0.000</c:formatCode>
                <c:ptCount val="6"/>
                <c:pt idx="0">
                  <c:v>4.2890379900162971E-2</c:v>
                </c:pt>
                <c:pt idx="1">
                  <c:v>5.4291730204642015E-2</c:v>
                </c:pt>
                <c:pt idx="2">
                  <c:v>3.3800851998149882E-2</c:v>
                </c:pt>
                <c:pt idx="3">
                  <c:v>0.14353695350679913</c:v>
                </c:pt>
                <c:pt idx="4">
                  <c:v>8.1525320114082783E-2</c:v>
                </c:pt>
                <c:pt idx="5">
                  <c:v>0.18254089161398704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263-48F7-9BC1-5CD6AC1073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2857216"/>
        <c:axId val="212859136"/>
      </c:scatterChart>
      <c:valAx>
        <c:axId val="2128572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/>
                </a:pPr>
                <a:r>
                  <a:rPr lang="en-US"/>
                  <a:t>Geographic distance (Km)</a:t>
                </a:r>
              </a:p>
            </c:rich>
          </c:tx>
          <c:overlay val="0"/>
        </c:title>
        <c:numFmt formatCode="0.000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212859136"/>
        <c:crosses val="autoZero"/>
        <c:crossBetween val="midCat"/>
      </c:valAx>
      <c:valAx>
        <c:axId val="21285913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1"/>
                </a:pPr>
                <a:r>
                  <a:rPr lang="en-US"/>
                  <a:t>Genetic distance</a:t>
                </a:r>
              </a:p>
            </c:rich>
          </c:tx>
          <c:overlay val="0"/>
        </c:title>
        <c:numFmt formatCode="0.000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212857216"/>
        <c:crosses val="autoZero"/>
        <c:crossBetween val="midCat"/>
      </c:valAx>
      <c:spPr>
        <a:noFill/>
        <a:ln w="12700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9180586052036772"/>
          <c:y val="0.45948364516185047"/>
          <c:w val="0.18269845253407072"/>
          <c:h val="0.18704154262020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'Allocation matrix'!$A$3</c:f>
              <c:strCache>
                <c:ptCount val="1"/>
                <c:pt idx="0">
                  <c:v> Dayrout</c:v>
                </c:pt>
              </c:strCache>
            </c:strRef>
          </c:tx>
          <c:invertIfNegative val="0"/>
          <c:cat>
            <c:strRef>
              <c:f>'Allocation matrix'!$B$2:$E$2</c:f>
              <c:strCache>
                <c:ptCount val="4"/>
                <c:pt idx="0">
                  <c:v>Dayrout</c:v>
                </c:pt>
                <c:pt idx="1">
                  <c:v> N.Sinai</c:v>
                </c:pt>
                <c:pt idx="2">
                  <c:v> Giza</c:v>
                </c:pt>
                <c:pt idx="3">
                  <c:v>Minya</c:v>
                </c:pt>
              </c:strCache>
            </c:strRef>
          </c:cat>
          <c:val>
            <c:numRef>
              <c:f>'Allocation matrix'!$B$3:$E$3</c:f>
              <c:numCache>
                <c:formatCode>General</c:formatCode>
                <c:ptCount val="4"/>
                <c:pt idx="0">
                  <c:v>1000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6C-424F-B332-F2E795C10137}"/>
            </c:ext>
          </c:extLst>
        </c:ser>
        <c:ser>
          <c:idx val="1"/>
          <c:order val="1"/>
          <c:tx>
            <c:strRef>
              <c:f>'Allocation matrix'!$A$4</c:f>
              <c:strCache>
                <c:ptCount val="1"/>
                <c:pt idx="0">
                  <c:v> N.Sinai</c:v>
                </c:pt>
              </c:strCache>
            </c:strRef>
          </c:tx>
          <c:invertIfNegative val="0"/>
          <c:cat>
            <c:strRef>
              <c:f>'Allocation matrix'!$B$2:$E$2</c:f>
              <c:strCache>
                <c:ptCount val="4"/>
                <c:pt idx="0">
                  <c:v>Dayrout</c:v>
                </c:pt>
                <c:pt idx="1">
                  <c:v> N.Sinai</c:v>
                </c:pt>
                <c:pt idx="2">
                  <c:v> Giza</c:v>
                </c:pt>
                <c:pt idx="3">
                  <c:v>Minya</c:v>
                </c:pt>
              </c:strCache>
            </c:strRef>
          </c:cat>
          <c:val>
            <c:numRef>
              <c:f>'Allocation matrix'!$B$4:$E$4</c:f>
              <c:numCache>
                <c:formatCode>General</c:formatCode>
                <c:ptCount val="4"/>
                <c:pt idx="0">
                  <c:v>0</c:v>
                </c:pt>
                <c:pt idx="1">
                  <c:v>1000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6C-424F-B332-F2E795C10137}"/>
            </c:ext>
          </c:extLst>
        </c:ser>
        <c:ser>
          <c:idx val="2"/>
          <c:order val="2"/>
          <c:tx>
            <c:strRef>
              <c:f>'Allocation matrix'!$A$5</c:f>
              <c:strCache>
                <c:ptCount val="1"/>
                <c:pt idx="0">
                  <c:v> Giza</c:v>
                </c:pt>
              </c:strCache>
            </c:strRef>
          </c:tx>
          <c:invertIfNegative val="0"/>
          <c:cat>
            <c:strRef>
              <c:f>'Allocation matrix'!$B$2:$E$2</c:f>
              <c:strCache>
                <c:ptCount val="4"/>
                <c:pt idx="0">
                  <c:v>Dayrout</c:v>
                </c:pt>
                <c:pt idx="1">
                  <c:v> N.Sinai</c:v>
                </c:pt>
                <c:pt idx="2">
                  <c:v> Giza</c:v>
                </c:pt>
                <c:pt idx="3">
                  <c:v>Minya</c:v>
                </c:pt>
              </c:strCache>
            </c:strRef>
          </c:cat>
          <c:val>
            <c:numRef>
              <c:f>'Allocation matrix'!$B$5:$E$5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1000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6C-424F-B332-F2E795C10137}"/>
            </c:ext>
          </c:extLst>
        </c:ser>
        <c:ser>
          <c:idx val="3"/>
          <c:order val="3"/>
          <c:tx>
            <c:strRef>
              <c:f>'Allocation matrix'!$A$6</c:f>
              <c:strCache>
                <c:ptCount val="1"/>
                <c:pt idx="0">
                  <c:v> Minya</c:v>
                </c:pt>
              </c:strCache>
            </c:strRef>
          </c:tx>
          <c:invertIfNegative val="0"/>
          <c:cat>
            <c:strRef>
              <c:f>'Allocation matrix'!$B$2:$E$2</c:f>
              <c:strCache>
                <c:ptCount val="4"/>
                <c:pt idx="0">
                  <c:v>Dayrout</c:v>
                </c:pt>
                <c:pt idx="1">
                  <c:v> N.Sinai</c:v>
                </c:pt>
                <c:pt idx="2">
                  <c:v> Giza</c:v>
                </c:pt>
                <c:pt idx="3">
                  <c:v>Minya</c:v>
                </c:pt>
              </c:strCache>
            </c:strRef>
          </c:cat>
          <c:val>
            <c:numRef>
              <c:f>'Allocation matrix'!$B$6:$E$6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999.9000244140625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86C-424F-B332-F2E795C10137}"/>
            </c:ext>
          </c:extLst>
        </c:ser>
        <c:ser>
          <c:idx val="4"/>
          <c:order val="4"/>
          <c:tx>
            <c:strRef>
              <c:f>'Allocation matrix'!$A$7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</c:spPr>
          <c:invertIfNegative val="0"/>
          <c:dPt>
            <c:idx val="3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34925" cmpd="sng">
                <a:solidFill>
                  <a:schemeClr val="bg2">
                    <a:lumMod val="50000"/>
                    <a:alpha val="97000"/>
                  </a:schemeClr>
                </a:solidFill>
              </a:ln>
              <a:effectLst>
                <a:glow rad="101600">
                  <a:schemeClr val="bg2">
                    <a:lumMod val="50000"/>
                    <a:alpha val="40000"/>
                  </a:schemeClr>
                </a:glow>
                <a:innerShdw blurRad="63500" dist="50800" dir="13500000">
                  <a:prstClr val="black">
                    <a:alpha val="50000"/>
                  </a:prst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5-886C-424F-B332-F2E795C10137}"/>
              </c:ext>
            </c:extLst>
          </c:dPt>
          <c:cat>
            <c:strRef>
              <c:f>'Allocation matrix'!$B$2:$E$2</c:f>
              <c:strCache>
                <c:ptCount val="4"/>
                <c:pt idx="0">
                  <c:v>Dayrout</c:v>
                </c:pt>
                <c:pt idx="1">
                  <c:v> N.Sinai</c:v>
                </c:pt>
                <c:pt idx="2">
                  <c:v> Giza</c:v>
                </c:pt>
                <c:pt idx="3">
                  <c:v>Minya</c:v>
                </c:pt>
              </c:strCache>
            </c:strRef>
          </c:cat>
          <c:val>
            <c:numRef>
              <c:f>'Allocation matrix'!$B$7:$E$7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0.10000000149011612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86C-424F-B332-F2E795C101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2977920"/>
        <c:axId val="212983808"/>
      </c:barChart>
      <c:catAx>
        <c:axId val="212977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2983808"/>
        <c:crosses val="autoZero"/>
        <c:auto val="1"/>
        <c:lblAlgn val="ctr"/>
        <c:lblOffset val="100"/>
        <c:noMultiLvlLbl val="0"/>
      </c:catAx>
      <c:valAx>
        <c:axId val="2129838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12977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Allocation!$A$3</c:f>
              <c:strCache>
                <c:ptCount val="1"/>
                <c:pt idx="0">
                  <c:v> Dayrout</c:v>
                </c:pt>
              </c:strCache>
            </c:strRef>
          </c:tx>
          <c:invertIfNegative val="0"/>
          <c:cat>
            <c:strRef>
              <c:f>Allocation!$B$2:$E$2</c:f>
              <c:strCache>
                <c:ptCount val="4"/>
                <c:pt idx="0">
                  <c:v> Dayrout</c:v>
                </c:pt>
                <c:pt idx="1">
                  <c:v>N.Sinai</c:v>
                </c:pt>
                <c:pt idx="2">
                  <c:v> Giza</c:v>
                </c:pt>
                <c:pt idx="3">
                  <c:v> Minya</c:v>
                </c:pt>
              </c:strCache>
            </c:strRef>
          </c:cat>
          <c:val>
            <c:numRef>
              <c:f>Allocation!$B$3:$E$3</c:f>
              <c:numCache>
                <c:formatCode>General</c:formatCode>
                <c:ptCount val="4"/>
                <c:pt idx="0">
                  <c:v>17</c:v>
                </c:pt>
                <c:pt idx="1">
                  <c:v>0</c:v>
                </c:pt>
                <c:pt idx="2">
                  <c:v>9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C2-4509-A9A0-54F4013FEDB8}"/>
            </c:ext>
          </c:extLst>
        </c:ser>
        <c:ser>
          <c:idx val="1"/>
          <c:order val="1"/>
          <c:tx>
            <c:strRef>
              <c:f>Allocation!$A$4</c:f>
              <c:strCache>
                <c:ptCount val="1"/>
                <c:pt idx="0">
                  <c:v>N.Sinai</c:v>
                </c:pt>
              </c:strCache>
            </c:strRef>
          </c:tx>
          <c:invertIfNegative val="0"/>
          <c:cat>
            <c:strRef>
              <c:f>Allocation!$B$2:$E$2</c:f>
              <c:strCache>
                <c:ptCount val="4"/>
                <c:pt idx="0">
                  <c:v> Dayrout</c:v>
                </c:pt>
                <c:pt idx="1">
                  <c:v>N.Sinai</c:v>
                </c:pt>
                <c:pt idx="2">
                  <c:v> Giza</c:v>
                </c:pt>
                <c:pt idx="3">
                  <c:v> Minya</c:v>
                </c:pt>
              </c:strCache>
            </c:strRef>
          </c:cat>
          <c:val>
            <c:numRef>
              <c:f>Allocation!$B$4:$E$4</c:f>
              <c:numCache>
                <c:formatCode>General</c:formatCode>
                <c:ptCount val="4"/>
                <c:pt idx="0">
                  <c:v>0</c:v>
                </c:pt>
                <c:pt idx="1">
                  <c:v>6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C2-4509-A9A0-54F4013FEDB8}"/>
            </c:ext>
          </c:extLst>
        </c:ser>
        <c:ser>
          <c:idx val="2"/>
          <c:order val="2"/>
          <c:tx>
            <c:strRef>
              <c:f>Allocation!$A$5</c:f>
              <c:strCache>
                <c:ptCount val="1"/>
                <c:pt idx="0">
                  <c:v> Giza</c:v>
                </c:pt>
              </c:strCache>
            </c:strRef>
          </c:tx>
          <c:invertIfNegative val="0"/>
          <c:cat>
            <c:strRef>
              <c:f>Allocation!$B$2:$E$2</c:f>
              <c:strCache>
                <c:ptCount val="4"/>
                <c:pt idx="0">
                  <c:v> Dayrout</c:v>
                </c:pt>
                <c:pt idx="1">
                  <c:v>N.Sinai</c:v>
                </c:pt>
                <c:pt idx="2">
                  <c:v> Giza</c:v>
                </c:pt>
                <c:pt idx="3">
                  <c:v> Minya</c:v>
                </c:pt>
              </c:strCache>
            </c:strRef>
          </c:cat>
          <c:val>
            <c:numRef>
              <c:f>Allocation!$B$5:$E$5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24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C2-4509-A9A0-54F4013FEDB8}"/>
            </c:ext>
          </c:extLst>
        </c:ser>
        <c:ser>
          <c:idx val="3"/>
          <c:order val="3"/>
          <c:tx>
            <c:strRef>
              <c:f>Allocation!$A$6</c:f>
              <c:strCache>
                <c:ptCount val="1"/>
                <c:pt idx="0">
                  <c:v> Minya</c:v>
                </c:pt>
              </c:strCache>
            </c:strRef>
          </c:tx>
          <c:invertIfNegative val="0"/>
          <c:cat>
            <c:strRef>
              <c:f>Allocation!$B$2:$E$2</c:f>
              <c:strCache>
                <c:ptCount val="4"/>
                <c:pt idx="0">
                  <c:v> Dayrout</c:v>
                </c:pt>
                <c:pt idx="1">
                  <c:v>N.Sinai</c:v>
                </c:pt>
                <c:pt idx="2">
                  <c:v> Giza</c:v>
                </c:pt>
                <c:pt idx="3">
                  <c:v> Minya</c:v>
                </c:pt>
              </c:strCache>
            </c:strRef>
          </c:cat>
          <c:val>
            <c:numRef>
              <c:f>Allocation!$B$6:$E$6</c:f>
              <c:numCache>
                <c:formatCode>General</c:formatCode>
                <c:ptCount val="4"/>
                <c:pt idx="0">
                  <c:v>4</c:v>
                </c:pt>
                <c:pt idx="1">
                  <c:v>0</c:v>
                </c:pt>
                <c:pt idx="2">
                  <c:v>1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7C2-4509-A9A0-54F4013FEDB8}"/>
            </c:ext>
          </c:extLst>
        </c:ser>
        <c:ser>
          <c:idx val="4"/>
          <c:order val="4"/>
          <c:tx>
            <c:strRef>
              <c:f>Allocation!$A$7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</c:spPr>
          <c:invertIfNegative val="0"/>
          <c:cat>
            <c:strRef>
              <c:f>Allocation!$B$2:$E$2</c:f>
              <c:strCache>
                <c:ptCount val="4"/>
                <c:pt idx="0">
                  <c:v> Dayrout</c:v>
                </c:pt>
                <c:pt idx="1">
                  <c:v>N.Sinai</c:v>
                </c:pt>
                <c:pt idx="2">
                  <c:v> Giza</c:v>
                </c:pt>
                <c:pt idx="3">
                  <c:v> Minya</c:v>
                </c:pt>
              </c:strCache>
            </c:strRef>
          </c:cat>
          <c:val>
            <c:numRef>
              <c:f>Allocation!$B$7:$E$7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C2-4509-A9A0-54F4013FED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3019648"/>
        <c:axId val="213041920"/>
      </c:barChart>
      <c:catAx>
        <c:axId val="213019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3041920"/>
        <c:crosses val="autoZero"/>
        <c:auto val="1"/>
        <c:lblAlgn val="ctr"/>
        <c:lblOffset val="100"/>
        <c:noMultiLvlLbl val="0"/>
      </c:catAx>
      <c:valAx>
        <c:axId val="2130419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130196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/>
            </a:pPr>
            <a:r>
              <a:rPr lang="en-US"/>
              <a:t>GGD vs PhiPTP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946476377952755"/>
          <c:y val="0.11376259842519683"/>
          <c:w val="0.62135334645669293"/>
          <c:h val="0.65495393700787397"/>
        </c:manualLayout>
      </c:layout>
      <c:scatterChart>
        <c:scatterStyle val="lineMarker"/>
        <c:varyColors val="0"/>
        <c:ser>
          <c:idx val="0"/>
          <c:order val="0"/>
          <c:tx>
            <c:strRef>
              <c:f>'GGDvPhiPTP MT'!$B$30</c:f>
              <c:strCache>
                <c:ptCount val="1"/>
                <c:pt idx="0">
                  <c:v>Y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RSqr val="1"/>
            <c:dispEq val="1"/>
            <c:trendlineLbl>
              <c:layout>
                <c:manualLayout>
                  <c:x val="-7.4222440944881887E-3"/>
                  <c:y val="0.33739803149606301"/>
                </c:manualLayout>
              </c:layout>
              <c:numFmt formatCode="General" sourceLinked="0"/>
            </c:trendlineLbl>
          </c:trendline>
          <c:xVal>
            <c:numRef>
              <c:f>'GGDvPhiPTP MT'!$A$31:$A$33</c:f>
              <c:numCache>
                <c:formatCode>0.000</c:formatCode>
                <c:ptCount val="3"/>
                <c:pt idx="0">
                  <c:v>0</c:v>
                </c:pt>
                <c:pt idx="1">
                  <c:v>274.0806884765625</c:v>
                </c:pt>
                <c:pt idx="2">
                  <c:v>274.0806884765625</c:v>
                </c:pt>
              </c:numCache>
            </c:numRef>
          </c:xVal>
          <c:yVal>
            <c:numRef>
              <c:f>'GGDvPhiPTP MT'!$B$31:$B$33</c:f>
              <c:numCache>
                <c:formatCode>0.000</c:formatCode>
                <c:ptCount val="3"/>
                <c:pt idx="0">
                  <c:v>4.3385846461615564E-2</c:v>
                </c:pt>
                <c:pt idx="1">
                  <c:v>5.9258272827268969E-2</c:v>
                </c:pt>
                <c:pt idx="2">
                  <c:v>7.4513528477939808E-2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892-4345-81C7-DA99A8523B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3564416"/>
        <c:axId val="213578880"/>
      </c:scatterChart>
      <c:valAx>
        <c:axId val="213564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/>
                </a:pPr>
                <a:r>
                  <a:rPr lang="en-US"/>
                  <a:t>Geographic</a:t>
                </a:r>
                <a:r>
                  <a:rPr lang="en-US" baseline="0"/>
                  <a:t> distance (Km)</a:t>
                </a:r>
                <a:endParaRPr lang="en-US"/>
              </a:p>
            </c:rich>
          </c:tx>
          <c:overlay val="0"/>
        </c:title>
        <c:numFmt formatCode="0.000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213578880"/>
        <c:crosses val="autoZero"/>
        <c:crossBetween val="midCat"/>
      </c:valAx>
      <c:valAx>
        <c:axId val="21357888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1"/>
                </a:pPr>
                <a:r>
                  <a:rPr lang="en-US"/>
                  <a:t>Genetic distance </a:t>
                </a:r>
              </a:p>
            </c:rich>
          </c:tx>
          <c:overlay val="0"/>
        </c:title>
        <c:numFmt formatCode="0.000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213564416"/>
        <c:crosses val="autoZero"/>
        <c:crossBetween val="midCat"/>
      </c:valAx>
      <c:spPr>
        <a:noFill/>
        <a:ln w="12700">
          <a:solidFill>
            <a:srgbClr val="000000"/>
          </a:solidFill>
          <a:prstDash val="solid"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'Allocation matrix'!$A$3</c:f>
              <c:strCache>
                <c:ptCount val="1"/>
                <c:pt idx="0">
                  <c:v>Dayrout 2013</c:v>
                </c:pt>
              </c:strCache>
            </c:strRef>
          </c:tx>
          <c:invertIfNegative val="0"/>
          <c:cat>
            <c:strRef>
              <c:f>'Allocation matrix'!$B$2:$D$2</c:f>
              <c:strCache>
                <c:ptCount val="3"/>
                <c:pt idx="0">
                  <c:v> 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'Allocation matrix'!$B$3:$D$3</c:f>
              <c:numCache>
                <c:formatCode>General</c:formatCode>
                <c:ptCount val="3"/>
                <c:pt idx="0">
                  <c:v>1000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CD-4ADD-94D6-3297BE1BD9E8}"/>
            </c:ext>
          </c:extLst>
        </c:ser>
        <c:ser>
          <c:idx val="1"/>
          <c:order val="1"/>
          <c:tx>
            <c:strRef>
              <c:f>'Allocation matrix'!$A$4</c:f>
              <c:strCache>
                <c:ptCount val="1"/>
                <c:pt idx="0">
                  <c:v> Giza 2013</c:v>
                </c:pt>
              </c:strCache>
            </c:strRef>
          </c:tx>
          <c:invertIfNegative val="0"/>
          <c:cat>
            <c:strRef>
              <c:f>'Allocation matrix'!$B$2:$D$2</c:f>
              <c:strCache>
                <c:ptCount val="3"/>
                <c:pt idx="0">
                  <c:v> 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'Allocation matrix'!$B$4:$D$4</c:f>
              <c:numCache>
                <c:formatCode>General</c:formatCode>
                <c:ptCount val="3"/>
                <c:pt idx="0">
                  <c:v>0</c:v>
                </c:pt>
                <c:pt idx="1">
                  <c:v>1000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1CD-4ADD-94D6-3297BE1BD9E8}"/>
            </c:ext>
          </c:extLst>
        </c:ser>
        <c:ser>
          <c:idx val="2"/>
          <c:order val="2"/>
          <c:tx>
            <c:strRef>
              <c:f>'Allocation matrix'!$A$5</c:f>
              <c:strCache>
                <c:ptCount val="1"/>
                <c:pt idx="0">
                  <c:v> Giza 2014</c:v>
                </c:pt>
              </c:strCache>
            </c:strRef>
          </c:tx>
          <c:invertIfNegative val="0"/>
          <c:cat>
            <c:strRef>
              <c:f>'Allocation matrix'!$B$2:$D$2</c:f>
              <c:strCache>
                <c:ptCount val="3"/>
                <c:pt idx="0">
                  <c:v> 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'Allocation matrix'!$B$5:$D$5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999.9000244140625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1CD-4ADD-94D6-3297BE1BD9E8}"/>
            </c:ext>
          </c:extLst>
        </c:ser>
        <c:ser>
          <c:idx val="3"/>
          <c:order val="3"/>
          <c:tx>
            <c:strRef>
              <c:f>'Allocation matrix'!$A$6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chemeClr val="bg2">
                <a:lumMod val="50000"/>
                <a:alpha val="79000"/>
              </a:schemeClr>
            </a:solidFill>
            <a:ln cmpd="sng">
              <a:solidFill>
                <a:schemeClr val="bg2">
                  <a:lumMod val="50000"/>
                </a:schemeClr>
              </a:solidFill>
            </a:ln>
            <a:effectLst>
              <a:glow rad="101600">
                <a:schemeClr val="bg2">
                  <a:lumMod val="50000"/>
                  <a:alpha val="40000"/>
                </a:schemeClr>
              </a:glow>
              <a:outerShdw blurRad="50800" dist="38100" algn="l" rotWithShape="0">
                <a:schemeClr val="bg2">
                  <a:lumMod val="50000"/>
                  <a:alpha val="40000"/>
                </a:schemeClr>
              </a:outerShdw>
            </a:effectLst>
            <a:scene3d>
              <a:camera prst="orthographicFront"/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'Allocation matrix'!$B$2:$D$2</c:f>
              <c:strCache>
                <c:ptCount val="3"/>
                <c:pt idx="0">
                  <c:v> 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'Allocation matrix'!$B$6:$D$6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0.10000000149011612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CD-4ADD-94D6-3297BE1BD9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3855232"/>
        <c:axId val="213873408"/>
      </c:barChart>
      <c:catAx>
        <c:axId val="213855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3873408"/>
        <c:crosses val="autoZero"/>
        <c:auto val="1"/>
        <c:lblAlgn val="ctr"/>
        <c:lblOffset val="100"/>
        <c:noMultiLvlLbl val="0"/>
      </c:catAx>
      <c:valAx>
        <c:axId val="2138734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138552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Allocation!$A$3</c:f>
              <c:strCache>
                <c:ptCount val="1"/>
                <c:pt idx="0">
                  <c:v> Dayrout 2013</c:v>
                </c:pt>
              </c:strCache>
            </c:strRef>
          </c:tx>
          <c:invertIfNegative val="0"/>
          <c:cat>
            <c:strRef>
              <c:f>Allocation!$B$2:$D$2</c:f>
              <c:strCache>
                <c:ptCount val="3"/>
                <c:pt idx="0">
                  <c:v>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Allocation!$B$3:$D$3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12-4D68-88C6-9A5DB5DEF2DF}"/>
            </c:ext>
          </c:extLst>
        </c:ser>
        <c:ser>
          <c:idx val="1"/>
          <c:order val="1"/>
          <c:tx>
            <c:strRef>
              <c:f>Allocation!$A$4</c:f>
              <c:strCache>
                <c:ptCount val="1"/>
                <c:pt idx="0">
                  <c:v> Giza 2013</c:v>
                </c:pt>
              </c:strCache>
            </c:strRef>
          </c:tx>
          <c:invertIfNegative val="0"/>
          <c:cat>
            <c:strRef>
              <c:f>Allocation!$B$2:$D$2</c:f>
              <c:strCache>
                <c:ptCount val="3"/>
                <c:pt idx="0">
                  <c:v>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Allocation!$B$4:$D$4</c:f>
              <c:numCache>
                <c:formatCode>General</c:formatCode>
                <c:ptCount val="3"/>
                <c:pt idx="0">
                  <c:v>0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12-4D68-88C6-9A5DB5DEF2DF}"/>
            </c:ext>
          </c:extLst>
        </c:ser>
        <c:ser>
          <c:idx val="2"/>
          <c:order val="2"/>
          <c:tx>
            <c:strRef>
              <c:f>Allocation!$A$5</c:f>
              <c:strCache>
                <c:ptCount val="1"/>
                <c:pt idx="0">
                  <c:v> Giza 2014</c:v>
                </c:pt>
              </c:strCache>
            </c:strRef>
          </c:tx>
          <c:invertIfNegative val="0"/>
          <c:cat>
            <c:strRef>
              <c:f>Allocation!$B$2:$D$2</c:f>
              <c:strCache>
                <c:ptCount val="3"/>
                <c:pt idx="0">
                  <c:v>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Allocation!$B$5:$D$5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A12-4D68-88C6-9A5DB5DEF2DF}"/>
            </c:ext>
          </c:extLst>
        </c:ser>
        <c:ser>
          <c:idx val="3"/>
          <c:order val="3"/>
          <c:tx>
            <c:strRef>
              <c:f>Allocation!$A$6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</c:spPr>
          <c:invertIfNegative val="0"/>
          <c:cat>
            <c:strRef>
              <c:f>Allocation!$B$2:$D$2</c:f>
              <c:strCache>
                <c:ptCount val="3"/>
                <c:pt idx="0">
                  <c:v>Dayrout 2013</c:v>
                </c:pt>
                <c:pt idx="1">
                  <c:v> Giza 2013</c:v>
                </c:pt>
                <c:pt idx="2">
                  <c:v>Giza 2014</c:v>
                </c:pt>
              </c:strCache>
            </c:strRef>
          </c:cat>
          <c:val>
            <c:numRef>
              <c:f>Allocation!$B$6:$D$6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12-4D68-88C6-9A5DB5DEF2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3892096"/>
        <c:axId val="213902080"/>
      </c:barChart>
      <c:catAx>
        <c:axId val="21389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3902080"/>
        <c:crosses val="autoZero"/>
        <c:auto val="1"/>
        <c:lblAlgn val="ctr"/>
        <c:lblOffset val="100"/>
        <c:noMultiLvlLbl val="0"/>
      </c:catAx>
      <c:valAx>
        <c:axId val="2139020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13892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05250-72D9-4C34-9853-A51FC1779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 A. Mohamed</dc:creator>
  <cp:keywords/>
  <dc:description/>
  <cp:lastModifiedBy>Amr A. Mohamed</cp:lastModifiedBy>
  <cp:revision>3</cp:revision>
  <cp:lastPrinted>2026-04-13T19:36:00Z</cp:lastPrinted>
  <dcterms:created xsi:type="dcterms:W3CDTF">2026-05-14T10:37:00Z</dcterms:created>
  <dcterms:modified xsi:type="dcterms:W3CDTF">2026-05-14T10:38:00Z</dcterms:modified>
</cp:coreProperties>
</file>