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848BCC" w14:textId="77777777" w:rsidR="00C46751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Tables</w:t>
      </w:r>
    </w:p>
    <w:p w14:paraId="5C7DFAF4" w14:textId="0EB92A5A" w:rsidR="00246350" w:rsidRPr="00246350" w:rsidRDefault="00000000" w:rsidP="0746B5F9">
      <w:pPr>
        <w:tabs>
          <w:tab w:val="left" w:pos="2977"/>
        </w:tabs>
        <w:ind w:left="2835" w:hanging="2551"/>
        <w:rPr>
          <w:rFonts w:eastAsia="Gungsuh"/>
          <w:lang w:val="en-US"/>
        </w:rPr>
      </w:pPr>
      <w:r w:rsidRPr="0746B5F9">
        <w:rPr>
          <w:b/>
          <w:bCs/>
          <w:lang w:val="en-US"/>
        </w:rPr>
        <w:t>Supplementary Table 1</w:t>
      </w:r>
      <w:r>
        <w:tab/>
      </w:r>
      <w:r w:rsidR="00246350" w:rsidRPr="0746B5F9">
        <w:rPr>
          <w:rFonts w:eastAsia="Gungsuh"/>
          <w:lang w:val="en-US"/>
        </w:rPr>
        <w:t>Summary of basecalling and quality-filtered reads (Q ≥ 10) generated by Dorado</w:t>
      </w:r>
    </w:p>
    <w:p w14:paraId="2374C7D6" w14:textId="5DE334A9" w:rsidR="00C46751" w:rsidRDefault="00000000" w:rsidP="00484141">
      <w:pPr>
        <w:tabs>
          <w:tab w:val="left" w:pos="2977"/>
        </w:tabs>
        <w:ind w:left="2835" w:hanging="2551"/>
      </w:pPr>
      <w:r>
        <w:rPr>
          <w:b/>
          <w:bCs/>
        </w:rPr>
        <w:t>Supplementary Table 2</w:t>
      </w:r>
      <w:r w:rsidR="00484141">
        <w:rPr>
          <w:b/>
          <w:bCs/>
        </w:rPr>
        <w:tab/>
      </w:r>
      <w:r>
        <w:t>Summary of transcript isoform classification by SQANTI3</w:t>
      </w:r>
    </w:p>
    <w:p w14:paraId="522327F8" w14:textId="709A6CEC" w:rsidR="00C46751" w:rsidRDefault="00000000" w:rsidP="00484141">
      <w:pPr>
        <w:tabs>
          <w:tab w:val="left" w:pos="2977"/>
        </w:tabs>
        <w:ind w:left="2835" w:hanging="2551"/>
      </w:pPr>
      <w:r>
        <w:rPr>
          <w:b/>
          <w:bCs/>
        </w:rPr>
        <w:t>Supplementary Table 3</w:t>
      </w:r>
      <w:r>
        <w:t xml:space="preserve"> </w:t>
      </w:r>
      <w:r w:rsidR="00484141">
        <w:tab/>
      </w:r>
      <w:r>
        <w:t>Candidate differentially expressed genes between control and GDM groups</w:t>
      </w:r>
    </w:p>
    <w:p w14:paraId="68DB9A61" w14:textId="28F5B913" w:rsidR="006D5A40" w:rsidRPr="006D5A40" w:rsidRDefault="006D5A40" w:rsidP="00484141">
      <w:pPr>
        <w:tabs>
          <w:tab w:val="left" w:pos="2977"/>
        </w:tabs>
        <w:ind w:left="2835" w:hanging="2551"/>
      </w:pPr>
      <w:r>
        <w:rPr>
          <w:b/>
          <w:bCs/>
        </w:rPr>
        <w:t>Supplementary Table 4</w:t>
      </w:r>
      <w:r w:rsidR="00484141">
        <w:rPr>
          <w:b/>
          <w:bCs/>
        </w:rPr>
        <w:tab/>
      </w:r>
      <w:r>
        <w:t>Results of GO analysis</w:t>
      </w:r>
    </w:p>
    <w:p w14:paraId="29C13D05" w14:textId="642D73AC" w:rsidR="00C46751" w:rsidRDefault="00000000" w:rsidP="00484141">
      <w:pPr>
        <w:tabs>
          <w:tab w:val="left" w:pos="2977"/>
        </w:tabs>
        <w:ind w:left="2835" w:hanging="2551"/>
      </w:pPr>
      <w:r w:rsidRPr="0746B5F9">
        <w:rPr>
          <w:b/>
          <w:bCs/>
        </w:rPr>
        <w:t xml:space="preserve">Supplementary Table </w:t>
      </w:r>
      <w:r w:rsidR="006D5A40" w:rsidRPr="0746B5F9">
        <w:rPr>
          <w:b/>
          <w:bCs/>
        </w:rPr>
        <w:t>5</w:t>
      </w:r>
      <w:r>
        <w:tab/>
        <w:t>Results of KEGG pathway enrichment analysis</w:t>
      </w:r>
    </w:p>
    <w:p w14:paraId="4C9DF284" w14:textId="0DF65D61" w:rsidR="008B16CF" w:rsidRDefault="17FCCD86" w:rsidP="00484141">
      <w:pPr>
        <w:tabs>
          <w:tab w:val="left" w:pos="2977"/>
        </w:tabs>
        <w:ind w:left="2835" w:hanging="2551"/>
        <w:rPr>
          <w:color w:val="0070C0"/>
        </w:rPr>
      </w:pPr>
      <w:r w:rsidRPr="12C6AB6E">
        <w:rPr>
          <w:b/>
          <w:bCs/>
          <w:lang w:val="en-US"/>
        </w:rPr>
        <w:t>Supplementary Table 6</w:t>
      </w:r>
      <w:r>
        <w:tab/>
      </w:r>
      <w:r w:rsidR="008B16CF" w:rsidRPr="008B16CF">
        <w:rPr>
          <w:color w:val="000000" w:themeColor="text1"/>
        </w:rPr>
        <w:t xml:space="preserve">The transcript proportion data for significant </w:t>
      </w:r>
      <w:r w:rsidR="008B16CF">
        <w:t>d</w:t>
      </w:r>
      <w:r w:rsidR="008B16CF">
        <w:t>ifferential transcript usage</w:t>
      </w:r>
    </w:p>
    <w:p w14:paraId="754EC02E" w14:textId="0F5BB791" w:rsidR="00C46751" w:rsidRDefault="00000000" w:rsidP="00484141">
      <w:pPr>
        <w:tabs>
          <w:tab w:val="left" w:pos="2977"/>
        </w:tabs>
        <w:ind w:left="2835" w:hanging="2551"/>
      </w:pPr>
      <w:r w:rsidRPr="0746B5F9">
        <w:rPr>
          <w:b/>
          <w:bCs/>
          <w:lang w:val="en-US"/>
        </w:rPr>
        <w:t xml:space="preserve">Supplementary Table </w:t>
      </w:r>
      <w:r w:rsidR="70D8EF95" w:rsidRPr="0746B5F9">
        <w:rPr>
          <w:b/>
          <w:bCs/>
          <w:lang w:val="en-US"/>
        </w:rPr>
        <w:t>7</w:t>
      </w:r>
      <w:r>
        <w:tab/>
      </w:r>
      <w:r w:rsidRPr="0746B5F9">
        <w:rPr>
          <w:lang w:val="en-US"/>
        </w:rPr>
        <w:t>Top 10 candidate novel genes identified and ranked according to differential gene expression score</w:t>
      </w:r>
    </w:p>
    <w:p w14:paraId="692F9CF8" w14:textId="17DC693E" w:rsidR="00C46751" w:rsidRDefault="00000000" w:rsidP="00484141">
      <w:pPr>
        <w:tabs>
          <w:tab w:val="left" w:pos="2977"/>
        </w:tabs>
        <w:ind w:left="2835" w:hanging="2551"/>
      </w:pPr>
      <w:r w:rsidRPr="0746B5F9">
        <w:rPr>
          <w:b/>
          <w:bCs/>
        </w:rPr>
        <w:t xml:space="preserve">Supplementary Table </w:t>
      </w:r>
      <w:r w:rsidR="03FFE632" w:rsidRPr="0746B5F9">
        <w:rPr>
          <w:b/>
          <w:bCs/>
        </w:rPr>
        <w:t>8</w:t>
      </w:r>
      <w:r w:rsidRPr="0746B5F9">
        <w:rPr>
          <w:b/>
          <w:bCs/>
        </w:rPr>
        <w:t xml:space="preserve"> </w:t>
      </w:r>
      <w:r>
        <w:tab/>
        <w:t>Differential transcript usage genes involving novel isoforms</w:t>
      </w:r>
    </w:p>
    <w:p w14:paraId="62A5C476" w14:textId="7DBE3162" w:rsidR="00C46751" w:rsidRDefault="00000000" w:rsidP="00484141">
      <w:pPr>
        <w:tabs>
          <w:tab w:val="left" w:pos="2977"/>
        </w:tabs>
        <w:ind w:left="2835" w:hanging="2551"/>
      </w:pPr>
      <w:r w:rsidRPr="0746B5F9">
        <w:rPr>
          <w:b/>
          <w:bCs/>
        </w:rPr>
        <w:t xml:space="preserve">Supplementary Table </w:t>
      </w:r>
      <w:r w:rsidR="7E486AB6" w:rsidRPr="0746B5F9">
        <w:rPr>
          <w:b/>
          <w:bCs/>
        </w:rPr>
        <w:t>9</w:t>
      </w:r>
      <w:r>
        <w:tab/>
        <w:t>Gene-level differential RNA base modification analysis results</w:t>
      </w:r>
    </w:p>
    <w:p w14:paraId="0C6ED210" w14:textId="77777777" w:rsidR="00C46751" w:rsidRDefault="00C46751"/>
    <w:p w14:paraId="127D7892" w14:textId="77777777" w:rsidR="00C46751" w:rsidRDefault="00000000">
      <w:r>
        <w:br w:type="page"/>
      </w:r>
    </w:p>
    <w:p w14:paraId="72873AD3" w14:textId="77777777" w:rsidR="00C46751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Supplementary Figures</w:t>
      </w:r>
    </w:p>
    <w:p w14:paraId="48E89CEC" w14:textId="77777777" w:rsidR="00C46751" w:rsidRDefault="00000000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22CD3F9" wp14:editId="1CCCCD7A">
            <wp:extent cx="3300619" cy="2838275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0619" cy="2838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D8F5B5" w14:textId="77777777" w:rsidR="00C46751" w:rsidRDefault="00000000">
      <w:r w:rsidRPr="0746B5F9">
        <w:rPr>
          <w:b/>
          <w:bCs/>
          <w:lang w:val="en-US"/>
        </w:rPr>
        <w:t xml:space="preserve">Supplementary Figure 1: Distribution of the number of isoforms per gene. </w:t>
      </w:r>
      <w:r w:rsidRPr="0746B5F9">
        <w:rPr>
          <w:lang w:val="en-US"/>
        </w:rPr>
        <w:t>Different color shades correspond to data before and after artifact filtering. Plot obtained from SQANTI3 report.</w:t>
      </w:r>
    </w:p>
    <w:p w14:paraId="0456F0C8" w14:textId="6AC18FE9" w:rsidR="00484141" w:rsidRDefault="00484141">
      <w:pPr>
        <w:rPr>
          <w:b/>
          <w:bCs/>
        </w:rPr>
      </w:pPr>
      <w:r>
        <w:rPr>
          <w:b/>
          <w:bCs/>
        </w:rPr>
        <w:br w:type="page"/>
      </w:r>
    </w:p>
    <w:p w14:paraId="1EBAC5B9" w14:textId="77777777" w:rsidR="00C46751" w:rsidRDefault="00C46751">
      <w:pPr>
        <w:rPr>
          <w:b/>
          <w:bCs/>
        </w:rPr>
      </w:pPr>
    </w:p>
    <w:p w14:paraId="165FDBD6" w14:textId="77777777" w:rsidR="00C46751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7F388E0" wp14:editId="54D6E51F">
            <wp:extent cx="5723890" cy="2654935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654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81568A" w14:textId="4D03379F" w:rsidR="00484141" w:rsidRDefault="00000000" w:rsidP="0746B5F9">
      <w:pPr>
        <w:rPr>
          <w:b/>
          <w:bCs/>
          <w:lang w:val="en-US"/>
        </w:rPr>
      </w:pPr>
      <w:r w:rsidRPr="0746B5F9">
        <w:rPr>
          <w:b/>
          <w:bCs/>
          <w:lang w:val="en-US"/>
        </w:rPr>
        <w:t>Supplementary Figure 2</w:t>
      </w:r>
      <w:r w:rsidRPr="0746B5F9">
        <w:rPr>
          <w:lang w:val="en-US"/>
        </w:rPr>
        <w:t xml:space="preserve">: </w:t>
      </w:r>
      <w:r w:rsidRPr="0746B5F9">
        <w:rPr>
          <w:b/>
          <w:bCs/>
          <w:lang w:val="en-US"/>
        </w:rPr>
        <w:t>Principal component analysis (PCA) of gene and transcript expression.</w:t>
      </w:r>
      <w:r>
        <w:br/>
      </w:r>
      <w:r w:rsidRPr="0746B5F9">
        <w:rPr>
          <w:lang w:val="en-US"/>
        </w:rPr>
        <w:t>(A) PCA of normalized gene-level expression values. (B) PCA of normalized transcript-level expression values. Control represents healthy pregnant individuals and GDM represents individuals with GDM.</w:t>
      </w:r>
    </w:p>
    <w:p w14:paraId="0F79B6FE" w14:textId="77777777" w:rsidR="00484141" w:rsidRDefault="00484141">
      <w:pPr>
        <w:rPr>
          <w:b/>
          <w:bCs/>
        </w:rPr>
      </w:pPr>
      <w:r>
        <w:rPr>
          <w:b/>
          <w:bCs/>
        </w:rPr>
        <w:br w:type="page"/>
      </w:r>
    </w:p>
    <w:p w14:paraId="79ABC075" w14:textId="77777777" w:rsidR="00C46751" w:rsidRDefault="00C46751">
      <w:pPr>
        <w:rPr>
          <w:b/>
          <w:bCs/>
        </w:rPr>
      </w:pPr>
    </w:p>
    <w:p w14:paraId="5AE1D601" w14:textId="77777777" w:rsidR="00C46751" w:rsidRDefault="00000000">
      <w:r>
        <w:rPr>
          <w:noProof/>
        </w:rPr>
        <w:drawing>
          <wp:inline distT="0" distB="0" distL="0" distR="0" wp14:anchorId="5320B7BE" wp14:editId="2935D9ED">
            <wp:extent cx="5723890" cy="268732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2687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DBD788" w14:textId="77777777" w:rsidR="00C46751" w:rsidRDefault="00000000">
      <w:r>
        <w:rPr>
          <w:b/>
          <w:bCs/>
        </w:rPr>
        <w:t>Supplementary Figure 3: Comparative analysis of mRNA poly(A) tail length in selected genes.</w:t>
      </w:r>
      <w:r>
        <w:br/>
        <w:t xml:space="preserve">(A) </w:t>
      </w:r>
      <w:r>
        <w:rPr>
          <w:i/>
          <w:iCs/>
        </w:rPr>
        <w:t>IGHV3-30</w:t>
      </w:r>
      <w:r>
        <w:t>.</w:t>
      </w:r>
      <w:r>
        <w:br/>
        <w:t xml:space="preserve">(B) </w:t>
      </w:r>
      <w:r>
        <w:rPr>
          <w:i/>
          <w:iCs/>
        </w:rPr>
        <w:t>MYOM2</w:t>
      </w:r>
      <w:r>
        <w:t>.</w:t>
      </w:r>
    </w:p>
    <w:p w14:paraId="20E836DA" w14:textId="77777777" w:rsidR="00C46751" w:rsidRDefault="00C46751"/>
    <w:p w14:paraId="078D16C0" w14:textId="77777777" w:rsidR="00C46751" w:rsidRDefault="00000000">
      <w:r>
        <w:rPr>
          <w:noProof/>
        </w:rPr>
        <w:lastRenderedPageBreak/>
        <w:drawing>
          <wp:inline distT="114300" distB="114300" distL="114300" distR="114300" wp14:anchorId="11F63423" wp14:editId="2D3AF0CB">
            <wp:extent cx="5731200" cy="5727700"/>
            <wp:effectExtent l="0" t="0" r="0" b="0"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AE7727" w14:textId="77777777" w:rsidR="00C46751" w:rsidRDefault="00000000">
      <w:r>
        <w:rPr>
          <w:b/>
          <w:bCs/>
        </w:rPr>
        <w:t>Supplementary Figure 4: Top gene sets enriched by GSEA.</w:t>
      </w:r>
    </w:p>
    <w:p w14:paraId="221DDDE0" w14:textId="77777777" w:rsidR="00C46751" w:rsidRDefault="00C46751"/>
    <w:p w14:paraId="6ED59185" w14:textId="77777777" w:rsidR="00C46751" w:rsidRDefault="00C46751"/>
    <w:p w14:paraId="123C8F89" w14:textId="77777777" w:rsidR="00C46751" w:rsidRDefault="00000000">
      <w:r>
        <w:rPr>
          <w:noProof/>
        </w:rPr>
        <w:lastRenderedPageBreak/>
        <w:drawing>
          <wp:inline distT="0" distB="0" distL="0" distR="0" wp14:anchorId="49345990" wp14:editId="785CBD87">
            <wp:extent cx="5723890" cy="3434080"/>
            <wp:effectExtent l="0" t="0" r="0" 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3434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53248C" w14:textId="77777777" w:rsidR="00422D87" w:rsidRDefault="00000000">
      <w:pPr>
        <w:rPr>
          <w:b/>
          <w:bCs/>
        </w:rPr>
      </w:pPr>
      <w:r>
        <w:rPr>
          <w:b/>
          <w:bCs/>
        </w:rPr>
        <w:t>Supplementary Figure 5: Differential expression analysis of novel genes.</w:t>
      </w:r>
    </w:p>
    <w:p w14:paraId="385B23C2" w14:textId="75F3B427" w:rsidR="00C46751" w:rsidRPr="00422D87" w:rsidRDefault="00422D87" w:rsidP="0746B5F9">
      <w:pPr>
        <w:rPr>
          <w:b/>
          <w:bCs/>
          <w:lang w:val="en-US"/>
        </w:rPr>
      </w:pPr>
      <w:r w:rsidRPr="0746B5F9">
        <w:rPr>
          <w:rFonts w:eastAsia="Gungsuh"/>
          <w:lang w:val="en-US"/>
        </w:rPr>
        <w:t xml:space="preserve">Volcano plot illustrating candidate differentially expressed novel genes between study groups. Upregulated genes are shown in red and downregulated genes in blue. Candidate genes were identified by absolute fold change ≥ 1.5 and </w:t>
      </w:r>
      <w:r w:rsidRPr="0746B5F9">
        <w:rPr>
          <w:i/>
          <w:iCs/>
          <w:lang w:val="en-US"/>
        </w:rPr>
        <w:t>P</w:t>
      </w:r>
      <w:r w:rsidRPr="0746B5F9">
        <w:rPr>
          <w:lang w:val="en-US"/>
        </w:rPr>
        <w:t>-value &lt; 0.05.</w:t>
      </w:r>
      <w:sdt>
        <w:sdtPr>
          <w:tag w:val="goog_rdk_1"/>
          <w:id w:val="-1904855924"/>
          <w:showingPlcHdr/>
        </w:sdtPr>
        <w:sdtContent>
          <w:r w:rsidRPr="0746B5F9">
            <w:rPr>
              <w:lang w:val="en-US"/>
            </w:rPr>
            <w:t xml:space="preserve">     </w:t>
          </w:r>
        </w:sdtContent>
      </w:sdt>
    </w:p>
    <w:p w14:paraId="1B778AAB" w14:textId="77777777" w:rsidR="00C46751" w:rsidRDefault="00C46751"/>
    <w:p w14:paraId="540F76A5" w14:textId="77777777" w:rsidR="00C46751" w:rsidRDefault="00000000">
      <w:r>
        <w:rPr>
          <w:noProof/>
        </w:rPr>
        <w:lastRenderedPageBreak/>
        <w:drawing>
          <wp:inline distT="114300" distB="114300" distL="114300" distR="114300" wp14:anchorId="18DFEA8B" wp14:editId="61358BC5">
            <wp:extent cx="5731200" cy="5727700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77E71" w14:textId="77777777" w:rsidR="00C46751" w:rsidRDefault="00000000">
      <w:r w:rsidRPr="0746B5F9">
        <w:rPr>
          <w:b/>
          <w:bCs/>
          <w:lang w:val="en-US"/>
        </w:rPr>
        <w:t>Supplementary Figure 6: Isoform usage proportions of seven genes that include novel isoforms.</w:t>
      </w:r>
      <w:r>
        <w:br/>
      </w:r>
      <w:r w:rsidRPr="0746B5F9">
        <w:rPr>
          <w:lang w:val="en-US"/>
        </w:rPr>
        <w:t>Transcript identifiers beginning with “transcript” denote novel isoforms identified in this study.</w:t>
      </w:r>
    </w:p>
    <w:p w14:paraId="01CAA17A" w14:textId="77777777" w:rsidR="00C46751" w:rsidRDefault="00000000">
      <w:r>
        <w:rPr>
          <w:noProof/>
        </w:rPr>
        <w:lastRenderedPageBreak/>
        <w:drawing>
          <wp:inline distT="0" distB="0" distL="0" distR="0" wp14:anchorId="5E3FE406" wp14:editId="541BA3C1">
            <wp:extent cx="5723890" cy="4424045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3890" cy="44240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A17280" w14:textId="77777777" w:rsidR="00C46751" w:rsidRDefault="00000000">
      <w:pPr>
        <w:rPr>
          <w:b/>
          <w:bCs/>
        </w:rPr>
      </w:pPr>
      <w:r>
        <w:rPr>
          <w:b/>
          <w:bCs/>
        </w:rPr>
        <w:t xml:space="preserve">Supplementary Figure 7: Differential transcript usage for the </w:t>
      </w:r>
      <w:r>
        <w:rPr>
          <w:b/>
          <w:bCs/>
          <w:i/>
          <w:iCs/>
        </w:rPr>
        <w:t>IFI44L</w:t>
      </w:r>
      <w:r>
        <w:rPr>
          <w:b/>
          <w:bCs/>
        </w:rPr>
        <w:t xml:space="preserve"> gene involving a novel isoform. </w:t>
      </w:r>
    </w:p>
    <w:p w14:paraId="2DB286A6" w14:textId="644EB4C0" w:rsidR="00C46751" w:rsidRDefault="00000000" w:rsidP="003055CA">
      <w:pPr>
        <w:pStyle w:val="ListParagraph"/>
        <w:numPr>
          <w:ilvl w:val="0"/>
          <w:numId w:val="2"/>
        </w:numPr>
        <w:jc w:val="both"/>
      </w:pPr>
      <w:r w:rsidRPr="0746B5F9">
        <w:rPr>
          <w:lang w:val="en-US"/>
        </w:rPr>
        <w:t xml:space="preserve">Read coverage of all samples across the </w:t>
      </w:r>
      <w:r w:rsidRPr="0746B5F9">
        <w:rPr>
          <w:i/>
          <w:iCs/>
          <w:lang w:val="en-US"/>
        </w:rPr>
        <w:t>IFI44L</w:t>
      </w:r>
      <w:r w:rsidRPr="0746B5F9">
        <w:rPr>
          <w:lang w:val="en-US"/>
        </w:rPr>
        <w:t xml:space="preserve"> gene obtained from IGV. Schematics on top show the structure of different transcript isoforms, including the novel isoform “transcript22138.chr1.nic”;</w:t>
      </w:r>
      <w:r w:rsidR="003055CA" w:rsidRPr="0746B5F9">
        <w:rPr>
          <w:lang w:val="en-US"/>
        </w:rPr>
        <w:t xml:space="preserve"> </w:t>
      </w:r>
      <w:r w:rsidRPr="0746B5F9">
        <w:rPr>
          <w:lang w:val="en-US"/>
        </w:rPr>
        <w:t>isoforms are color-coded to match the rest of the figure. Rectangular blocks within each transcript schematic represent exons, and the thin line between them represents introns</w:t>
      </w:r>
      <w:r w:rsidR="003055CA" w:rsidRPr="0746B5F9">
        <w:rPr>
          <w:lang w:val="en-US"/>
        </w:rPr>
        <w:t>,</w:t>
      </w:r>
      <w:r w:rsidRPr="0746B5F9">
        <w:rPr>
          <w:lang w:val="en-US"/>
        </w:rPr>
        <w:t xml:space="preserve"> with arrows defining the 5'-3' directionality of the transcript. Thinner blocks represent the untranslated regions (UTRs). </w:t>
      </w:r>
    </w:p>
    <w:p w14:paraId="34E4593C" w14:textId="1BEA9AF1" w:rsidR="00C46751" w:rsidRDefault="00000000" w:rsidP="003055CA">
      <w:pPr>
        <w:pStyle w:val="ListParagraph"/>
        <w:numPr>
          <w:ilvl w:val="0"/>
          <w:numId w:val="2"/>
        </w:numPr>
        <w:jc w:val="both"/>
      </w:pPr>
      <w:r>
        <w:t xml:space="preserve">Magnified read coverage and sashimi plot at exon 2/3 of </w:t>
      </w:r>
      <w:r w:rsidR="003055CA" w:rsidRPr="003055CA">
        <w:rPr>
          <w:i/>
          <w:iCs/>
        </w:rPr>
        <w:t xml:space="preserve">the </w:t>
      </w:r>
      <w:r w:rsidRPr="003055CA">
        <w:rPr>
          <w:i/>
          <w:iCs/>
        </w:rPr>
        <w:t>IFI44L</w:t>
      </w:r>
      <w:r>
        <w:t xml:space="preserve"> gene, showing the difference in relative coverages among exons 2 and 3 between control and GDM samples. The reduced coverage in exon 2 compared to exon 3 in control samples implies the expression of the novel transcript, which skips exon 2. </w:t>
      </w:r>
    </w:p>
    <w:p w14:paraId="37401EDA" w14:textId="25FFCFF6" w:rsidR="00C46751" w:rsidRDefault="00000000" w:rsidP="003055CA">
      <w:pPr>
        <w:pStyle w:val="ListParagraph"/>
        <w:numPr>
          <w:ilvl w:val="0"/>
          <w:numId w:val="2"/>
        </w:numPr>
        <w:jc w:val="both"/>
      </w:pPr>
      <w:r>
        <w:t xml:space="preserve">Stacked bar plots showing the difference in isoform usage proportion between control and GDM samples. The novel isoform (green) is expressed at </w:t>
      </w:r>
      <w:r w:rsidR="003055CA">
        <w:t xml:space="preserve">a </w:t>
      </w:r>
      <w:r>
        <w:t>20-35% proportion for control samples, while almost negligible in GDM samples.</w:t>
      </w:r>
    </w:p>
    <w:p w14:paraId="31EC52AF" w14:textId="77777777" w:rsidR="00C46751" w:rsidRDefault="00C46751"/>
    <w:sectPr w:rsidR="00C46751">
      <w:pgSz w:w="11894" w:h="16819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D8A3055-250E-A045-B88F-E20A9137908D}"/>
    <w:embedBold r:id="rId2" w:fontKey="{182C089F-A548-994B-A088-3FA45F1AE37D}"/>
    <w:embedItalic r:id="rId3" w:fontKey="{99FA7711-9E51-CE41-B880-674AC5BE992A}"/>
    <w:embedBoldItalic r:id="rId4" w:fontKey="{0222F9E5-1BEE-ED47-9E27-AE9B2F2317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9E1AB8C-6A2A-8E4E-9204-1D82390FF354}"/>
    <w:embedItalic r:id="rId6" w:fontKey="{487E9FA2-C94F-FB4C-B0A5-633A6C17FD9C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7" w:fontKey="{48692A49-E1E0-0D4F-B084-4094D3A564FE}"/>
    <w:embedItalic r:id="rId8" w:fontKey="{95CAC2E0-FDFA-2146-BD97-CFC4AB4F5D38}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473DF8B-E434-B044-9FF5-F9A4F679A39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3590BD34-2046-B741-A2D0-5D470D53793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BEA5053"/>
    <w:multiLevelType w:val="hybridMultilevel"/>
    <w:tmpl w:val="B224B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B2A07"/>
    <w:multiLevelType w:val="hybridMultilevel"/>
    <w:tmpl w:val="1AE8BD06"/>
    <w:lvl w:ilvl="0" w:tplc="C37E389C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668717">
    <w:abstractNumId w:val="0"/>
  </w:num>
  <w:num w:numId="2" w16cid:durableId="100540295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embedTrueTypeFont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wN7E0M7Q0MDQzNjZW0lEKTi0uzszPAykwrAUAqExOACwAAAA="/>
  </w:docVars>
  <w:rsids>
    <w:rsidRoot w:val="00C46751"/>
    <w:rsid w:val="00012C12"/>
    <w:rsid w:val="000828DD"/>
    <w:rsid w:val="000B102A"/>
    <w:rsid w:val="00246350"/>
    <w:rsid w:val="002A295E"/>
    <w:rsid w:val="003055CA"/>
    <w:rsid w:val="00422D87"/>
    <w:rsid w:val="00484141"/>
    <w:rsid w:val="006D5A40"/>
    <w:rsid w:val="008B16CF"/>
    <w:rsid w:val="00941B20"/>
    <w:rsid w:val="00B57846"/>
    <w:rsid w:val="00B66C7F"/>
    <w:rsid w:val="00C46751"/>
    <w:rsid w:val="03FFE632"/>
    <w:rsid w:val="04A3A08B"/>
    <w:rsid w:val="0746B5F9"/>
    <w:rsid w:val="0EA74E7C"/>
    <w:rsid w:val="12C6AB6E"/>
    <w:rsid w:val="17FCCD86"/>
    <w:rsid w:val="18D2E4FA"/>
    <w:rsid w:val="191437D4"/>
    <w:rsid w:val="2AF780E3"/>
    <w:rsid w:val="63A8ED35"/>
    <w:rsid w:val="6699BA52"/>
    <w:rsid w:val="70D8EF95"/>
    <w:rsid w:val="7BC77601"/>
    <w:rsid w:val="7E48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76D545"/>
  <w15:docId w15:val="{36AD96F7-B673-1A4B-8CB0-70749994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th-TH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jc w:val="center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jc w:val="center"/>
      <w:outlineLvl w:val="4"/>
    </w:pPr>
    <w:rPr>
      <w:rFonts w:ascii="Calibri" w:eastAsia="Calibri" w:hAnsi="Calibri" w:cs="Calibri"/>
      <w:color w:val="2F5496"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3055CA"/>
    <w:pPr>
      <w:ind w:left="720"/>
      <w:contextualSpacing/>
    </w:pPr>
    <w:rPr>
      <w:rFonts w:cs="Angsana New"/>
      <w:szCs w:val="30"/>
    </w:rPr>
  </w:style>
  <w:style w:type="paragraph" w:styleId="Revision">
    <w:name w:val="Revision"/>
    <w:hidden/>
    <w:uiPriority w:val="99"/>
    <w:semiHidden/>
    <w:rsid w:val="00941B20"/>
    <w:pPr>
      <w:spacing w:after="0" w:line="240" w:lineRule="auto"/>
    </w:pPr>
    <w:rPr>
      <w:rFonts w:cs="Angsana New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dBNSTgNoX0j/3kr1MZAIYJ9FEw==">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Sarocha Suthon</cp:lastModifiedBy>
  <cp:revision>12</cp:revision>
  <dcterms:created xsi:type="dcterms:W3CDTF">2026-07-08T09:01:00Z</dcterms:created>
  <dcterms:modified xsi:type="dcterms:W3CDTF">2026-08-03T04:20:00Z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029b9b-2f20-4448-920b-bea6b40a99ab_Enabled">
    <vt:lpwstr>true</vt:lpwstr>
  </property>
  <property fmtid="{D5CDD505-2E9C-101B-9397-08002B2CF9AE}" pid="3" name="MSIP_Label_44029b9b-2f20-4448-920b-bea6b40a99ab_SetDate">
    <vt:lpwstr>2026-07-22T02:11:05Z</vt:lpwstr>
  </property>
  <property fmtid="{D5CDD505-2E9C-101B-9397-08002B2CF9AE}" pid="4" name="MSIP_Label_44029b9b-2f20-4448-920b-bea6b40a99ab_Method">
    <vt:lpwstr>Privileged</vt:lpwstr>
  </property>
  <property fmtid="{D5CDD505-2E9C-101B-9397-08002B2CF9AE}" pid="5" name="MSIP_Label_44029b9b-2f20-4448-920b-bea6b40a99ab_Name">
    <vt:lpwstr>CONFIDENTIAL external</vt:lpwstr>
  </property>
  <property fmtid="{D5CDD505-2E9C-101B-9397-08002B2CF9AE}" pid="6" name="MSIP_Label_44029b9b-2f20-4448-920b-bea6b40a99ab_SiteId">
    <vt:lpwstr>1e282362-9e15-429f-a97e-cec804d773bf</vt:lpwstr>
  </property>
  <property fmtid="{D5CDD505-2E9C-101B-9397-08002B2CF9AE}" pid="7" name="MSIP_Label_44029b9b-2f20-4448-920b-bea6b40a99ab_ActionId">
    <vt:lpwstr>70360449-1696-4955-812e-bbaabf112f53</vt:lpwstr>
  </property>
  <property fmtid="{D5CDD505-2E9C-101B-9397-08002B2CF9AE}" pid="8" name="MSIP_Label_44029b9b-2f20-4448-920b-bea6b40a99ab_ContentBits">
    <vt:lpwstr>0</vt:lpwstr>
  </property>
  <property fmtid="{D5CDD505-2E9C-101B-9397-08002B2CF9AE}" pid="9" name="MSIP_Label_44029b9b-2f20-4448-920b-bea6b40a99ab_Tag">
    <vt:lpwstr>50, 0, 1, 1</vt:lpwstr>
  </property>
</Properties>
</file>