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F2E2" w14:textId="77777777" w:rsidR="005943FD" w:rsidRPr="005943FD" w:rsidRDefault="005943FD" w:rsidP="005943FD">
      <w:pPr>
        <w:shd w:val="clear" w:color="auto" w:fill="FFFFFF"/>
        <w:spacing w:before="480" w:after="0" w:line="240" w:lineRule="auto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</w:pPr>
      <w:r w:rsidRPr="005943FD">
        <w:rPr>
          <w:rFonts w:asciiTheme="majorBidi" w:eastAsia="Times New Roman" w:hAnsiTheme="majorBidi" w:cstheme="majorBidi"/>
          <w:b/>
          <w:bCs/>
          <w:color w:val="0F1115"/>
          <w:kern w:val="0"/>
          <w:highlight w:val="yellow"/>
          <w14:ligatures w14:val="none"/>
        </w:rPr>
        <w:t>Table S7. Accidental dural puncture by procedural variables (epidural group, N=340) — supplementary exploratory analysis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10"/>
        <w:gridCol w:w="1605"/>
        <w:gridCol w:w="1046"/>
        <w:gridCol w:w="1295"/>
        <w:gridCol w:w="873"/>
        <w:gridCol w:w="2231"/>
      </w:tblGrid>
      <w:tr w:rsidR="005943FD" w:rsidRPr="005943FD" w14:paraId="4EFBE8D6" w14:textId="77777777" w:rsidTr="00594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C08D08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30EF704E" w14:textId="77777777" w:rsidR="005943FD" w:rsidRPr="005943FD" w:rsidRDefault="005943FD" w:rsidP="00594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Total procedures</w:t>
            </w:r>
          </w:p>
        </w:tc>
        <w:tc>
          <w:tcPr>
            <w:tcW w:w="0" w:type="auto"/>
            <w:hideMark/>
          </w:tcPr>
          <w:p w14:paraId="6CB438AD" w14:textId="77777777" w:rsidR="005943FD" w:rsidRPr="005943FD" w:rsidRDefault="005943FD" w:rsidP="00594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ADP cases</w:t>
            </w:r>
          </w:p>
        </w:tc>
        <w:tc>
          <w:tcPr>
            <w:tcW w:w="0" w:type="auto"/>
            <w:hideMark/>
          </w:tcPr>
          <w:p w14:paraId="58EF249B" w14:textId="77777777" w:rsidR="005943FD" w:rsidRPr="005943FD" w:rsidRDefault="005943FD" w:rsidP="00594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ADP rate (%)</w:t>
            </w:r>
          </w:p>
        </w:tc>
        <w:tc>
          <w:tcPr>
            <w:tcW w:w="0" w:type="auto"/>
            <w:hideMark/>
          </w:tcPr>
          <w:p w14:paraId="695C2D8A" w14:textId="77777777" w:rsidR="005943FD" w:rsidRPr="005943FD" w:rsidRDefault="005943FD" w:rsidP="00594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0" w:type="auto"/>
            <w:hideMark/>
          </w:tcPr>
          <w:p w14:paraId="104C022B" w14:textId="77777777" w:rsidR="005943FD" w:rsidRPr="005943FD" w:rsidRDefault="005943FD" w:rsidP="005943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Unadjusted RR (95% CI)</w:t>
            </w:r>
          </w:p>
        </w:tc>
      </w:tr>
      <w:tr w:rsidR="005943FD" w:rsidRPr="005943FD" w14:paraId="39E80176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2042F1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0" w:type="auto"/>
            <w:hideMark/>
          </w:tcPr>
          <w:p w14:paraId="3DB4F24A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BFD972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05DF15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4BD4FD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36B5C4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5943FD" w:rsidRPr="005943FD" w14:paraId="02FD44E7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8CDCDE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BMI &lt;30</w:t>
            </w:r>
          </w:p>
        </w:tc>
        <w:tc>
          <w:tcPr>
            <w:tcW w:w="0" w:type="auto"/>
            <w:hideMark/>
          </w:tcPr>
          <w:p w14:paraId="7B01F1AF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228</w:t>
            </w:r>
          </w:p>
        </w:tc>
        <w:tc>
          <w:tcPr>
            <w:tcW w:w="0" w:type="auto"/>
            <w:hideMark/>
          </w:tcPr>
          <w:p w14:paraId="14A1B9E4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B652849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0.9</w:t>
            </w:r>
          </w:p>
        </w:tc>
        <w:tc>
          <w:tcPr>
            <w:tcW w:w="0" w:type="auto"/>
            <w:hideMark/>
          </w:tcPr>
          <w:p w14:paraId="12C744CD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0.2–3.2</w:t>
            </w:r>
          </w:p>
        </w:tc>
        <w:tc>
          <w:tcPr>
            <w:tcW w:w="0" w:type="auto"/>
            <w:hideMark/>
          </w:tcPr>
          <w:p w14:paraId="01A71C81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5943FD" w:rsidRPr="005943FD" w14:paraId="1CA3DD2B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4902B2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BMI ≥30 (obese)</w:t>
            </w:r>
          </w:p>
        </w:tc>
        <w:tc>
          <w:tcPr>
            <w:tcW w:w="0" w:type="auto"/>
            <w:hideMark/>
          </w:tcPr>
          <w:p w14:paraId="10F95585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112</w:t>
            </w:r>
          </w:p>
        </w:tc>
        <w:tc>
          <w:tcPr>
            <w:tcW w:w="0" w:type="auto"/>
            <w:hideMark/>
          </w:tcPr>
          <w:p w14:paraId="48529B4B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41C6D21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0" w:type="auto"/>
            <w:hideMark/>
          </w:tcPr>
          <w:p w14:paraId="71935F81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0.5–6.3</w:t>
            </w:r>
          </w:p>
        </w:tc>
        <w:tc>
          <w:tcPr>
            <w:tcW w:w="0" w:type="auto"/>
            <w:hideMark/>
          </w:tcPr>
          <w:p w14:paraId="3DC3D3DF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2.04 (0.29–14.32)</w:t>
            </w:r>
          </w:p>
        </w:tc>
      </w:tr>
      <w:tr w:rsidR="005943FD" w:rsidRPr="005943FD" w14:paraId="282A6770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687537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Operator experience</w:t>
            </w:r>
          </w:p>
        </w:tc>
        <w:tc>
          <w:tcPr>
            <w:tcW w:w="0" w:type="auto"/>
            <w:hideMark/>
          </w:tcPr>
          <w:p w14:paraId="23659A78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E3BF1F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27AD5A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322C29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D51243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5943FD" w:rsidRPr="005943FD" w14:paraId="55897578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CEF805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Non-resident</w:t>
            </w:r>
          </w:p>
        </w:tc>
        <w:tc>
          <w:tcPr>
            <w:tcW w:w="0" w:type="auto"/>
            <w:hideMark/>
          </w:tcPr>
          <w:p w14:paraId="080DCAD6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0" w:type="auto"/>
            <w:hideMark/>
          </w:tcPr>
          <w:p w14:paraId="142B2054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583ECEA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hideMark/>
          </w:tcPr>
          <w:p w14:paraId="4124A1E7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0.1–2.3</w:t>
            </w:r>
          </w:p>
        </w:tc>
        <w:tc>
          <w:tcPr>
            <w:tcW w:w="0" w:type="auto"/>
            <w:hideMark/>
          </w:tcPr>
          <w:p w14:paraId="3563ED0A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5943FD" w:rsidRPr="005943FD" w14:paraId="0EC35726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C5875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Resident</w:t>
            </w:r>
          </w:p>
        </w:tc>
        <w:tc>
          <w:tcPr>
            <w:tcW w:w="0" w:type="auto"/>
            <w:hideMark/>
          </w:tcPr>
          <w:p w14:paraId="788A4E80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0" w:type="auto"/>
            <w:hideMark/>
          </w:tcPr>
          <w:p w14:paraId="6CF28812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F5B193F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2.9</w:t>
            </w:r>
          </w:p>
        </w:tc>
        <w:tc>
          <w:tcPr>
            <w:tcW w:w="0" w:type="auto"/>
            <w:hideMark/>
          </w:tcPr>
          <w:p w14:paraId="54E43F5B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1.0–8.3</w:t>
            </w:r>
          </w:p>
        </w:tc>
        <w:tc>
          <w:tcPr>
            <w:tcW w:w="0" w:type="auto"/>
            <w:hideMark/>
          </w:tcPr>
          <w:p w14:paraId="535F6C1C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7.00 (0.74–66.5)</w:t>
            </w:r>
          </w:p>
        </w:tc>
      </w:tr>
      <w:tr w:rsidR="005943FD" w:rsidRPr="005943FD" w14:paraId="10AD4C7E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F312A3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Insertion attempts</w:t>
            </w:r>
          </w:p>
        </w:tc>
        <w:tc>
          <w:tcPr>
            <w:tcW w:w="0" w:type="auto"/>
            <w:hideMark/>
          </w:tcPr>
          <w:p w14:paraId="661EDC24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F044B1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881E8E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0908C6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A26FF1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5943FD" w:rsidRPr="005943FD" w14:paraId="1DD30D88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C2C61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 attempt</w:t>
            </w:r>
          </w:p>
        </w:tc>
        <w:tc>
          <w:tcPr>
            <w:tcW w:w="0" w:type="auto"/>
            <w:hideMark/>
          </w:tcPr>
          <w:p w14:paraId="621F5E54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248</w:t>
            </w:r>
          </w:p>
        </w:tc>
        <w:tc>
          <w:tcPr>
            <w:tcW w:w="0" w:type="auto"/>
            <w:hideMark/>
          </w:tcPr>
          <w:p w14:paraId="6872953B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ED3D4AC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hideMark/>
          </w:tcPr>
          <w:p w14:paraId="6F9294F6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0.1–2.3</w:t>
            </w:r>
          </w:p>
        </w:tc>
        <w:tc>
          <w:tcPr>
            <w:tcW w:w="0" w:type="auto"/>
            <w:hideMark/>
          </w:tcPr>
          <w:p w14:paraId="65699056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5943FD" w:rsidRPr="005943FD" w14:paraId="1727C8AC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BAEF86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 attempts</w:t>
            </w:r>
          </w:p>
        </w:tc>
        <w:tc>
          <w:tcPr>
            <w:tcW w:w="0" w:type="auto"/>
            <w:hideMark/>
          </w:tcPr>
          <w:p w14:paraId="5283CEB5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0" w:type="auto"/>
            <w:hideMark/>
          </w:tcPr>
          <w:p w14:paraId="259DC63B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0CA7C0F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hideMark/>
          </w:tcPr>
          <w:p w14:paraId="63060EE2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0.2–7.1</w:t>
            </w:r>
          </w:p>
        </w:tc>
        <w:tc>
          <w:tcPr>
            <w:tcW w:w="0" w:type="auto"/>
            <w:hideMark/>
          </w:tcPr>
          <w:p w14:paraId="7A75E038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3.26 (0.21–51.5)</w:t>
            </w:r>
          </w:p>
        </w:tc>
      </w:tr>
      <w:tr w:rsidR="005943FD" w:rsidRPr="005943FD" w14:paraId="4D3970AC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4A1991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≥3 attempts</w:t>
            </w:r>
          </w:p>
        </w:tc>
        <w:tc>
          <w:tcPr>
            <w:tcW w:w="0" w:type="auto"/>
            <w:hideMark/>
          </w:tcPr>
          <w:p w14:paraId="71C3BA85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7CD7816A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28CBE82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12.5</w:t>
            </w:r>
          </w:p>
        </w:tc>
        <w:tc>
          <w:tcPr>
            <w:tcW w:w="0" w:type="auto"/>
            <w:hideMark/>
          </w:tcPr>
          <w:p w14:paraId="1C757CF0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3.5–36.0</w:t>
            </w:r>
          </w:p>
        </w:tc>
        <w:tc>
          <w:tcPr>
            <w:tcW w:w="0" w:type="auto"/>
            <w:hideMark/>
          </w:tcPr>
          <w:p w14:paraId="6246B277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31.0 (3.01–319)</w:t>
            </w:r>
          </w:p>
        </w:tc>
      </w:tr>
      <w:tr w:rsidR="005943FD" w:rsidRPr="005943FD" w14:paraId="05F7A472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A45079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Loss-of-resistance medium</w:t>
            </w:r>
          </w:p>
        </w:tc>
        <w:tc>
          <w:tcPr>
            <w:tcW w:w="0" w:type="auto"/>
            <w:hideMark/>
          </w:tcPr>
          <w:p w14:paraId="4DB01191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9EB8D2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2545A1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ECF659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B38B66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5943FD" w:rsidRPr="005943FD" w14:paraId="59CB1793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6C5B78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Saline</w:t>
            </w:r>
          </w:p>
        </w:tc>
        <w:tc>
          <w:tcPr>
            <w:tcW w:w="0" w:type="auto"/>
            <w:hideMark/>
          </w:tcPr>
          <w:p w14:paraId="3FFDCAF5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136</w:t>
            </w:r>
          </w:p>
        </w:tc>
        <w:tc>
          <w:tcPr>
            <w:tcW w:w="0" w:type="auto"/>
            <w:hideMark/>
          </w:tcPr>
          <w:p w14:paraId="065FF3F8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A1F3834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0" w:type="auto"/>
            <w:hideMark/>
          </w:tcPr>
          <w:p w14:paraId="0ABBE4D5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0.1–4.1</w:t>
            </w:r>
          </w:p>
        </w:tc>
        <w:tc>
          <w:tcPr>
            <w:tcW w:w="0" w:type="auto"/>
            <w:hideMark/>
          </w:tcPr>
          <w:p w14:paraId="65466CDC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5943FD" w:rsidRPr="005943FD" w14:paraId="665CF854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545292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Air</w:t>
            </w:r>
          </w:p>
        </w:tc>
        <w:tc>
          <w:tcPr>
            <w:tcW w:w="0" w:type="auto"/>
            <w:hideMark/>
          </w:tcPr>
          <w:p w14:paraId="40F081A8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204</w:t>
            </w:r>
          </w:p>
        </w:tc>
        <w:tc>
          <w:tcPr>
            <w:tcW w:w="0" w:type="auto"/>
            <w:hideMark/>
          </w:tcPr>
          <w:p w14:paraId="65AAE2F8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7D2353C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1.5</w:t>
            </w:r>
          </w:p>
        </w:tc>
        <w:tc>
          <w:tcPr>
            <w:tcW w:w="0" w:type="auto"/>
            <w:hideMark/>
          </w:tcPr>
          <w:p w14:paraId="06512348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0.5–4.3</w:t>
            </w:r>
          </w:p>
        </w:tc>
        <w:tc>
          <w:tcPr>
            <w:tcW w:w="0" w:type="auto"/>
            <w:hideMark/>
          </w:tcPr>
          <w:p w14:paraId="71C32485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2.00 (0.21–19.0)</w:t>
            </w:r>
          </w:p>
        </w:tc>
      </w:tr>
      <w:tr w:rsidR="005943FD" w:rsidRPr="005943FD" w14:paraId="1D995015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AF8BA7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Patient positioning</w:t>
            </w:r>
          </w:p>
        </w:tc>
        <w:tc>
          <w:tcPr>
            <w:tcW w:w="0" w:type="auto"/>
            <w:hideMark/>
          </w:tcPr>
          <w:p w14:paraId="448D570A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50FE82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40C64D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044239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6D8522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5943FD" w:rsidRPr="005943FD" w14:paraId="6E5BD55B" w14:textId="77777777" w:rsidTr="00594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A1EA4E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Sitting</w:t>
            </w:r>
          </w:p>
        </w:tc>
        <w:tc>
          <w:tcPr>
            <w:tcW w:w="0" w:type="auto"/>
            <w:hideMark/>
          </w:tcPr>
          <w:p w14:paraId="67A68069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238</w:t>
            </w:r>
          </w:p>
        </w:tc>
        <w:tc>
          <w:tcPr>
            <w:tcW w:w="0" w:type="auto"/>
            <w:hideMark/>
          </w:tcPr>
          <w:p w14:paraId="79992052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279E460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hideMark/>
          </w:tcPr>
          <w:p w14:paraId="193AF0A6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0.4–3.7</w:t>
            </w:r>
          </w:p>
        </w:tc>
        <w:tc>
          <w:tcPr>
            <w:tcW w:w="0" w:type="auto"/>
            <w:hideMark/>
          </w:tcPr>
          <w:p w14:paraId="052EC583" w14:textId="77777777" w:rsidR="005943FD" w:rsidRPr="005943FD" w:rsidRDefault="005943FD" w:rsidP="005943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Reference</w:t>
            </w:r>
          </w:p>
        </w:tc>
      </w:tr>
      <w:tr w:rsidR="005943FD" w:rsidRPr="005943FD" w14:paraId="6AB7ECDA" w14:textId="77777777" w:rsidTr="005943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14E8B0" w14:textId="77777777" w:rsidR="005943FD" w:rsidRPr="005943FD" w:rsidRDefault="005943FD" w:rsidP="005943FD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Lateral</w:t>
            </w:r>
          </w:p>
        </w:tc>
        <w:tc>
          <w:tcPr>
            <w:tcW w:w="0" w:type="auto"/>
            <w:hideMark/>
          </w:tcPr>
          <w:p w14:paraId="412F7FAE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0" w:type="auto"/>
            <w:hideMark/>
          </w:tcPr>
          <w:p w14:paraId="56420496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DB6C82F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0" w:type="auto"/>
            <w:hideMark/>
          </w:tcPr>
          <w:p w14:paraId="282A76D0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0.2–5.4</w:t>
            </w:r>
          </w:p>
        </w:tc>
        <w:tc>
          <w:tcPr>
            <w:tcW w:w="0" w:type="auto"/>
            <w:hideMark/>
          </w:tcPr>
          <w:p w14:paraId="001CC4D6" w14:textId="77777777" w:rsidR="005943FD" w:rsidRPr="005943FD" w:rsidRDefault="005943FD" w:rsidP="005943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943F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0.78 (0.08–7.40)</w:t>
            </w:r>
          </w:p>
        </w:tc>
      </w:tr>
    </w:tbl>
    <w:p w14:paraId="2D06605B" w14:textId="77777777" w:rsidR="005943FD" w:rsidRPr="005943FD" w:rsidRDefault="005943FD" w:rsidP="005943FD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i/>
          <w:iCs/>
          <w:color w:val="0F1115"/>
          <w:kern w:val="0"/>
          <w:sz w:val="20"/>
          <w:szCs w:val="20"/>
          <w14:ligatures w14:val="none"/>
        </w:rPr>
      </w:pPr>
      <w:r w:rsidRPr="005943FD">
        <w:rPr>
          <w:rFonts w:asciiTheme="majorBidi" w:eastAsia="Times New Roman" w:hAnsiTheme="majorBidi" w:cstheme="majorBidi"/>
          <w:b/>
          <w:bCs/>
          <w:i/>
          <w:iCs/>
          <w:color w:val="0F1115"/>
          <w:kern w:val="0"/>
          <w:sz w:val="20"/>
          <w:szCs w:val="20"/>
          <w14:ligatures w14:val="none"/>
        </w:rPr>
        <w:t>Note:</w:t>
      </w:r>
      <w:r w:rsidRPr="005943FD">
        <w:rPr>
          <w:rFonts w:asciiTheme="majorBidi" w:eastAsia="Times New Roman" w:hAnsiTheme="majorBidi" w:cstheme="majorBidi"/>
          <w:i/>
          <w:iCs/>
          <w:color w:val="0F1115"/>
          <w:kern w:val="0"/>
          <w:sz w:val="20"/>
          <w:szCs w:val="20"/>
          <w14:ligatures w14:val="none"/>
        </w:rPr>
        <w:t> These analyses are descriptive and hypothesis-generating. No multivariable adjustment was performed due to insufficient events (n=4 ADP). Confidence intervals are wide and estimates are imprecise.</w:t>
      </w:r>
    </w:p>
    <w:p w14:paraId="19FC5068" w14:textId="77777777" w:rsidR="00305BCF" w:rsidRPr="005943FD" w:rsidRDefault="00305BCF" w:rsidP="005943FD">
      <w:pPr>
        <w:spacing w:line="240" w:lineRule="auto"/>
        <w:rPr>
          <w:rFonts w:asciiTheme="majorBidi" w:hAnsiTheme="majorBidi" w:cstheme="majorBidi"/>
        </w:rPr>
      </w:pPr>
    </w:p>
    <w:sectPr w:rsidR="00305BCF" w:rsidRPr="00594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EB38" w14:textId="77777777" w:rsidR="00B962F3" w:rsidRDefault="00B962F3" w:rsidP="00E31731">
      <w:pPr>
        <w:spacing w:after="0" w:line="240" w:lineRule="auto"/>
      </w:pPr>
      <w:r>
        <w:separator/>
      </w:r>
    </w:p>
  </w:endnote>
  <w:endnote w:type="continuationSeparator" w:id="0">
    <w:p w14:paraId="0579C16D" w14:textId="77777777" w:rsidR="00B962F3" w:rsidRDefault="00B962F3" w:rsidP="00E3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62FC" w14:textId="77777777" w:rsidR="00B962F3" w:rsidRDefault="00B962F3" w:rsidP="00E31731">
      <w:pPr>
        <w:spacing w:after="0" w:line="240" w:lineRule="auto"/>
      </w:pPr>
      <w:r>
        <w:separator/>
      </w:r>
    </w:p>
  </w:footnote>
  <w:footnote w:type="continuationSeparator" w:id="0">
    <w:p w14:paraId="00730402" w14:textId="77777777" w:rsidR="00B962F3" w:rsidRDefault="00B962F3" w:rsidP="00E31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FD"/>
    <w:rsid w:val="002765D3"/>
    <w:rsid w:val="00305BCF"/>
    <w:rsid w:val="003953D7"/>
    <w:rsid w:val="005207CD"/>
    <w:rsid w:val="005943FD"/>
    <w:rsid w:val="00B962F3"/>
    <w:rsid w:val="00E3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8D4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3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3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3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3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3FD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5943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3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731"/>
  </w:style>
  <w:style w:type="paragraph" w:styleId="Footer">
    <w:name w:val="footer"/>
    <w:basedOn w:val="Normal"/>
    <w:link w:val="FooterChar"/>
    <w:uiPriority w:val="99"/>
    <w:unhideWhenUsed/>
    <w:rsid w:val="00E31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2026-06-23T03:41:00Z</dcterms:created>
  <dcterms:modified xsi:type="dcterms:W3CDTF">2026-06-23T03:41:00Z</dcterms:modified>
</cp:coreProperties>
</file>