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0C5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color w:val="auto"/>
          <w:sz w:val="28"/>
          <w:szCs w:val="28"/>
          <w:shd w:val="clear" w:color="auto" w:fill="FFFFFF"/>
          <w:lang w:val="en-US" w:eastAsia="zh-CN"/>
        </w:rPr>
      </w:pPr>
      <w:r>
        <w:rPr>
          <w:rFonts w:hint="eastAsia" w:ascii="Times New Roman" w:hAnsi="Times New Roman" w:eastAsia="宋体" w:cs="Times New Roman"/>
          <w:b/>
          <w:bCs/>
          <w:color w:val="auto"/>
          <w:sz w:val="28"/>
          <w:szCs w:val="28"/>
          <w:shd w:val="clear" w:color="auto" w:fill="FFFFFF"/>
          <w:lang w:val="en-US" w:eastAsia="zh-CN"/>
        </w:rPr>
        <w:t xml:space="preserve">Supplementary Materials: </w:t>
      </w:r>
    </w:p>
    <w:p w14:paraId="64AB2B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 xml:space="preserve">Figure S1 </w:t>
      </w:r>
      <w:r>
        <w:rPr>
          <w:rFonts w:hint="eastAsia" w:ascii="Times New Roman" w:hAnsi="Times New Roman" w:eastAsia="宋体" w:cs="Times New Roman"/>
          <w:color w:val="auto"/>
          <w:sz w:val="21"/>
          <w:szCs w:val="21"/>
          <w:lang w:val="en-US" w:eastAsia="zh-CN"/>
        </w:rPr>
        <w:t>Participant flow diagram of the study</w:t>
      </w:r>
    </w:p>
    <w:p w14:paraId="1CE6D5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drawing>
          <wp:inline distT="0" distB="0" distL="114300" distR="114300">
            <wp:extent cx="5267960" cy="2833370"/>
            <wp:effectExtent l="0" t="0" r="8890" b="5080"/>
            <wp:docPr id="3" name="图片 3" descr="84216b18-fd1f-47bc-b6ac-6b73fabd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4216b18-fd1f-47bc-b6ac-6b73fabd9881"/>
                    <pic:cNvPicPr>
                      <a:picLocks noChangeAspect="1"/>
                    </pic:cNvPicPr>
                  </pic:nvPicPr>
                  <pic:blipFill>
                    <a:blip r:embed="rId4"/>
                    <a:stretch>
                      <a:fillRect/>
                    </a:stretch>
                  </pic:blipFill>
                  <pic:spPr>
                    <a:xfrm>
                      <a:off x="0" y="0"/>
                      <a:ext cx="5267960" cy="2833370"/>
                    </a:xfrm>
                    <a:prstGeom prst="rect">
                      <a:avLst/>
                    </a:prstGeom>
                  </pic:spPr>
                </pic:pic>
              </a:graphicData>
            </a:graphic>
          </wp:inline>
        </w:drawing>
      </w:r>
    </w:p>
    <w:p w14:paraId="7118EF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i/>
          <w:iCs/>
          <w:color w:val="auto"/>
          <w:sz w:val="21"/>
          <w:szCs w:val="21"/>
          <w:lang w:val="en-US" w:eastAsia="zh-CN"/>
        </w:rPr>
        <w:t>Abbreviations</w:t>
      </w:r>
      <w:r>
        <w:rPr>
          <w:rFonts w:hint="default"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lang w:val="en-US" w:eastAsia="zh-CN"/>
        </w:rPr>
        <w:t>LP, lobar pneumonia; IPCs, intrapulmonary complications.</w:t>
      </w:r>
    </w:p>
    <w:p w14:paraId="6B24D4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p w14:paraId="2E9B5C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b/>
          <w:bCs/>
          <w:sz w:val="21"/>
          <w:szCs w:val="21"/>
          <w:lang w:val="en-US" w:eastAsia="zh-CN"/>
        </w:rPr>
        <w:t>Table S1</w:t>
      </w:r>
      <w:r>
        <w:rPr>
          <w:rFonts w:hint="eastAsia" w:ascii="Times New Roman" w:hAnsi="Times New Roman" w:eastAsia="宋体" w:cs="Times New Roman"/>
          <w:sz w:val="21"/>
          <w:szCs w:val="21"/>
          <w:lang w:val="en-US" w:eastAsia="zh-CN"/>
        </w:rPr>
        <w:t xml:space="preserve"> Summary of missing data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01A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12" w:space="0"/>
              <w:left w:val="nil"/>
              <w:bottom w:val="single" w:color="auto" w:sz="4" w:space="0"/>
              <w:right w:val="nil"/>
            </w:tcBorders>
          </w:tcPr>
          <w:p w14:paraId="38DA8A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1"/>
                <w:szCs w:val="21"/>
                <w:vertAlign w:val="baseline"/>
                <w:lang w:val="en-US" w:eastAsia="zh-CN"/>
              </w:rPr>
            </w:pPr>
            <w:r>
              <w:rPr>
                <w:rFonts w:hint="eastAsia" w:ascii="Times New Roman" w:hAnsi="Times New Roman" w:eastAsia="宋体" w:cs="Times New Roman"/>
                <w:b/>
                <w:bCs/>
                <w:sz w:val="21"/>
                <w:szCs w:val="21"/>
                <w:vertAlign w:val="baseline"/>
                <w:lang w:val="en-US" w:eastAsia="zh-CN"/>
              </w:rPr>
              <w:t>Variable</w:t>
            </w:r>
          </w:p>
        </w:tc>
        <w:tc>
          <w:tcPr>
            <w:tcW w:w="4261" w:type="dxa"/>
            <w:tcBorders>
              <w:top w:val="single" w:color="auto" w:sz="12" w:space="0"/>
              <w:left w:val="nil"/>
              <w:bottom w:val="single" w:color="auto" w:sz="4" w:space="0"/>
              <w:right w:val="nil"/>
            </w:tcBorders>
          </w:tcPr>
          <w:p w14:paraId="1F86E1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1"/>
                <w:szCs w:val="21"/>
                <w:vertAlign w:val="baseline"/>
                <w:lang w:val="en-US" w:eastAsia="zh-CN"/>
              </w:rPr>
            </w:pPr>
            <w:r>
              <w:rPr>
                <w:rFonts w:hint="eastAsia" w:ascii="Times New Roman" w:hAnsi="Times New Roman" w:eastAsia="宋体" w:cs="Times New Roman"/>
                <w:b/>
                <w:bCs/>
                <w:sz w:val="21"/>
                <w:szCs w:val="21"/>
                <w:vertAlign w:val="baseline"/>
                <w:lang w:val="en-US" w:eastAsia="zh-CN"/>
              </w:rPr>
              <w:t>Missing, n (%)</w:t>
            </w:r>
          </w:p>
        </w:tc>
      </w:tr>
      <w:tr w14:paraId="2706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nil"/>
              <w:bottom w:val="nil"/>
              <w:right w:val="nil"/>
            </w:tcBorders>
            <w:shd w:val="clear" w:color="auto" w:fill="auto"/>
            <w:vAlign w:val="top"/>
          </w:tcPr>
          <w:p w14:paraId="6FD729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PLT (</w:t>
            </w:r>
            <w:r>
              <w:rPr>
                <w:rFonts w:hint="default" w:ascii="Times New Roman" w:hAnsi="Times New Roman" w:eastAsia="宋体" w:cs="Times New Roman"/>
                <w:sz w:val="21"/>
                <w:szCs w:val="21"/>
                <w:vertAlign w:val="baseline"/>
                <w:lang w:val="en-US" w:eastAsia="zh-CN"/>
              </w:rPr>
              <w:t>×10</w:t>
            </w:r>
            <w:r>
              <w:rPr>
                <w:rFonts w:hint="default" w:ascii="Times New Roman" w:hAnsi="Times New Roman" w:eastAsia="宋体" w:cs="Times New Roman"/>
                <w:sz w:val="21"/>
                <w:szCs w:val="21"/>
                <w:vertAlign w:val="superscript"/>
                <w:lang w:val="en-US" w:eastAsia="zh-CN"/>
              </w:rPr>
              <w:t>9</w:t>
            </w:r>
            <w:r>
              <w:rPr>
                <w:rFonts w:hint="default" w:ascii="Times New Roman" w:hAnsi="Times New Roman" w:eastAsia="宋体" w:cs="Times New Roman"/>
                <w:sz w:val="21"/>
                <w:szCs w:val="21"/>
                <w:vertAlign w:val="baseline"/>
                <w:lang w:val="en-US" w:eastAsia="zh-CN"/>
              </w:rPr>
              <w:t>/L</w:t>
            </w:r>
            <w:r>
              <w:rPr>
                <w:rFonts w:hint="eastAsia" w:ascii="Times New Roman" w:hAnsi="Times New Roman" w:eastAsia="宋体" w:cs="Times New Roman"/>
                <w:sz w:val="21"/>
                <w:szCs w:val="21"/>
                <w:vertAlign w:val="baseline"/>
                <w:lang w:val="en-US" w:eastAsia="zh-CN"/>
              </w:rPr>
              <w:t>)</w:t>
            </w:r>
          </w:p>
        </w:tc>
        <w:tc>
          <w:tcPr>
            <w:tcW w:w="4261" w:type="dxa"/>
            <w:tcBorders>
              <w:top w:val="single" w:color="auto" w:sz="4" w:space="0"/>
              <w:left w:val="nil"/>
              <w:bottom w:val="nil"/>
              <w:right w:val="nil"/>
            </w:tcBorders>
          </w:tcPr>
          <w:p w14:paraId="492E6A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49 (7.4)</w:t>
            </w:r>
          </w:p>
        </w:tc>
      </w:tr>
      <w:tr w14:paraId="68A4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DE16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CRP (mg/L)</w:t>
            </w:r>
          </w:p>
        </w:tc>
        <w:tc>
          <w:tcPr>
            <w:tcW w:w="4261" w:type="dxa"/>
            <w:tcBorders>
              <w:top w:val="nil"/>
              <w:left w:val="nil"/>
              <w:bottom w:val="nil"/>
              <w:right w:val="nil"/>
            </w:tcBorders>
          </w:tcPr>
          <w:p w14:paraId="2EEB4B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49 (7.4)</w:t>
            </w:r>
          </w:p>
        </w:tc>
      </w:tr>
      <w:tr w14:paraId="3A6C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42BA3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AST (U/L)</w:t>
            </w:r>
          </w:p>
        </w:tc>
        <w:tc>
          <w:tcPr>
            <w:tcW w:w="4261" w:type="dxa"/>
            <w:tcBorders>
              <w:top w:val="nil"/>
              <w:left w:val="nil"/>
              <w:bottom w:val="nil"/>
              <w:right w:val="nil"/>
            </w:tcBorders>
          </w:tcPr>
          <w:p w14:paraId="3D6957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11 (1.6)</w:t>
            </w:r>
          </w:p>
        </w:tc>
      </w:tr>
      <w:tr w14:paraId="34E4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3E9C40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ESR (mm/h)</w:t>
            </w:r>
          </w:p>
        </w:tc>
        <w:tc>
          <w:tcPr>
            <w:tcW w:w="4261" w:type="dxa"/>
            <w:tcBorders>
              <w:top w:val="nil"/>
              <w:left w:val="nil"/>
              <w:bottom w:val="nil"/>
              <w:right w:val="nil"/>
            </w:tcBorders>
          </w:tcPr>
          <w:p w14:paraId="56D5A6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53 (8.0)</w:t>
            </w:r>
          </w:p>
        </w:tc>
      </w:tr>
      <w:tr w14:paraId="1EA2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E203F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LDH (U/L)</w:t>
            </w:r>
          </w:p>
        </w:tc>
        <w:tc>
          <w:tcPr>
            <w:tcW w:w="4261" w:type="dxa"/>
            <w:tcBorders>
              <w:top w:val="nil"/>
              <w:left w:val="nil"/>
              <w:bottom w:val="nil"/>
              <w:right w:val="nil"/>
            </w:tcBorders>
          </w:tcPr>
          <w:p w14:paraId="37FA1D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17 (2.5)</w:t>
            </w:r>
          </w:p>
        </w:tc>
      </w:tr>
      <w:tr w14:paraId="69C4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81B54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lang w:val="en-US" w:eastAsia="zh-CN"/>
              </w:rPr>
              <w:t>D</w:t>
            </w:r>
            <w:r>
              <w:rPr>
                <w:rFonts w:hint="default" w:ascii="Times New Roman" w:hAnsi="Times New Roman" w:eastAsia="宋体" w:cs="Times New Roman"/>
                <w:sz w:val="21"/>
                <w:szCs w:val="21"/>
                <w:lang w:val="en-US" w:eastAsia="zh-CN"/>
              </w:rPr>
              <w:noBreakHyphen/>
            </w:r>
            <w:r>
              <w:rPr>
                <w:rFonts w:hint="eastAsia" w:ascii="Times New Roman" w:hAnsi="Times New Roman" w:eastAsia="宋体" w:cs="Times New Roman"/>
                <w:sz w:val="21"/>
                <w:szCs w:val="21"/>
                <w:lang w:val="en-US" w:eastAsia="zh-CN"/>
              </w:rPr>
              <w:t>d</w:t>
            </w:r>
            <w:r>
              <w:rPr>
                <w:rFonts w:hint="default" w:ascii="Times New Roman" w:hAnsi="Times New Roman" w:eastAsia="宋体" w:cs="Times New Roman"/>
                <w:sz w:val="21"/>
                <w:szCs w:val="21"/>
                <w:lang w:val="en-US" w:eastAsia="zh-CN"/>
              </w:rPr>
              <w:t>imer</w:t>
            </w:r>
            <w:r>
              <w:rPr>
                <w:rFonts w:hint="eastAsia" w:ascii="Times New Roman" w:hAnsi="Times New Roman" w:eastAsia="宋体" w:cs="Times New Roman"/>
                <w:sz w:val="21"/>
                <w:szCs w:val="21"/>
                <w:vertAlign w:val="baseline"/>
                <w:lang w:val="en-US" w:eastAsia="zh-CN"/>
              </w:rPr>
              <w:t xml:space="preserve"> (mg/L)</w:t>
            </w:r>
          </w:p>
        </w:tc>
        <w:tc>
          <w:tcPr>
            <w:tcW w:w="4261" w:type="dxa"/>
            <w:tcBorders>
              <w:top w:val="nil"/>
              <w:left w:val="nil"/>
              <w:bottom w:val="nil"/>
              <w:right w:val="nil"/>
            </w:tcBorders>
          </w:tcPr>
          <w:p w14:paraId="4DA774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61 (9.2)</w:t>
            </w:r>
          </w:p>
        </w:tc>
      </w:tr>
      <w:tr w14:paraId="4774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single" w:color="auto" w:sz="12" w:space="0"/>
              <w:right w:val="nil"/>
            </w:tcBorders>
            <w:shd w:val="clear" w:color="auto" w:fill="auto"/>
            <w:vAlign w:val="top"/>
          </w:tcPr>
          <w:p w14:paraId="2A34C1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sz w:val="21"/>
                <w:szCs w:val="21"/>
                <w:vertAlign w:val="baseline"/>
                <w:lang w:val="en-US" w:eastAsia="zh-CN"/>
              </w:rPr>
              <w:t>IgE (IU/mL)</w:t>
            </w:r>
          </w:p>
        </w:tc>
        <w:tc>
          <w:tcPr>
            <w:tcW w:w="4261" w:type="dxa"/>
            <w:tcBorders>
              <w:top w:val="nil"/>
              <w:left w:val="nil"/>
              <w:bottom w:val="single" w:color="auto" w:sz="12" w:space="0"/>
              <w:right w:val="nil"/>
            </w:tcBorders>
          </w:tcPr>
          <w:p w14:paraId="014442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37 (5.5)</w:t>
            </w:r>
          </w:p>
        </w:tc>
      </w:tr>
    </w:tbl>
    <w:p w14:paraId="597CB8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Note:</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Only laboratory variables had missing values; there was no missingness in demographic, clinical, imaging, or outcome variables. Missing values were handled using multiple imputation by chained equations (MICE), performed separately in the training and validation cohorts to avoid information leakage. Five imputed datasets were generated, and the final analytical dataset was selected based on its consistency with the distribution of the observed data. The overall proportion of missing laboratory data ranged from 1.6% to 9.2%. The imputation models included laboratory variables with missingness and key clinical predictors (age, sex, PMH, Oxy_ECG, MP status, and IS) as auxiliary variables. Convergence and plausibility were assessed by evaluating the stability of imputations across iterations and by comparing the distributions of observed and imputed values.</w:t>
      </w:r>
    </w:p>
    <w:p w14:paraId="2DD0FD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p w14:paraId="3DE7E5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Table S2 </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Variance inflation factors (VIFs) for candidate predictors in multivariable logistic regression model in the training cohort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7BB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12" w:space="0"/>
              <w:left w:val="nil"/>
              <w:bottom w:val="single" w:color="auto" w:sz="4" w:space="0"/>
              <w:right w:val="nil"/>
            </w:tcBorders>
          </w:tcPr>
          <w:p w14:paraId="299E6C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Variable</w:t>
            </w:r>
          </w:p>
        </w:tc>
        <w:tc>
          <w:tcPr>
            <w:tcW w:w="4261" w:type="dxa"/>
            <w:tcBorders>
              <w:top w:val="single" w:color="auto" w:sz="12" w:space="0"/>
              <w:left w:val="nil"/>
              <w:bottom w:val="single" w:color="auto" w:sz="4" w:space="0"/>
              <w:right w:val="nil"/>
            </w:tcBorders>
          </w:tcPr>
          <w:p w14:paraId="1E81AB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VIF</w:t>
            </w:r>
          </w:p>
        </w:tc>
      </w:tr>
      <w:tr w14:paraId="6390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nil"/>
              <w:bottom w:val="nil"/>
              <w:right w:val="nil"/>
            </w:tcBorders>
            <w:shd w:val="clear" w:color="auto" w:fill="auto"/>
            <w:vAlign w:val="top"/>
          </w:tcPr>
          <w:p w14:paraId="2CD33CA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Course (day)</w:t>
            </w:r>
          </w:p>
        </w:tc>
        <w:tc>
          <w:tcPr>
            <w:tcW w:w="4261" w:type="dxa"/>
            <w:tcBorders>
              <w:top w:val="single" w:color="auto" w:sz="4" w:space="0"/>
              <w:left w:val="nil"/>
              <w:bottom w:val="nil"/>
              <w:right w:val="nil"/>
            </w:tcBorders>
          </w:tcPr>
          <w:p w14:paraId="4ECE7F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1.041</w:t>
            </w:r>
          </w:p>
        </w:tc>
      </w:tr>
      <w:tr w14:paraId="0626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B2BF2F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CRP</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30 (mg/L)</w:t>
            </w:r>
          </w:p>
        </w:tc>
        <w:tc>
          <w:tcPr>
            <w:tcW w:w="4261" w:type="dxa"/>
            <w:tcBorders>
              <w:top w:val="nil"/>
              <w:left w:val="nil"/>
              <w:bottom w:val="nil"/>
              <w:right w:val="nil"/>
            </w:tcBorders>
          </w:tcPr>
          <w:p w14:paraId="4DBC93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1.039</w:t>
            </w:r>
          </w:p>
        </w:tc>
      </w:tr>
      <w:tr w14:paraId="75EB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658708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 xml:space="preserve">AST </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40 (U/L)</w:t>
            </w:r>
          </w:p>
        </w:tc>
        <w:tc>
          <w:tcPr>
            <w:tcW w:w="4261" w:type="dxa"/>
            <w:tcBorders>
              <w:top w:val="nil"/>
              <w:left w:val="nil"/>
              <w:bottom w:val="nil"/>
              <w:right w:val="nil"/>
            </w:tcBorders>
          </w:tcPr>
          <w:p w14:paraId="056ABC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1.562</w:t>
            </w:r>
          </w:p>
        </w:tc>
      </w:tr>
      <w:tr w14:paraId="6875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FA3C5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 xml:space="preserve">LDH </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500 (U/L)</w:t>
            </w:r>
          </w:p>
        </w:tc>
        <w:tc>
          <w:tcPr>
            <w:tcW w:w="4261" w:type="dxa"/>
            <w:tcBorders>
              <w:top w:val="nil"/>
              <w:left w:val="nil"/>
              <w:bottom w:val="nil"/>
              <w:right w:val="nil"/>
            </w:tcBorders>
          </w:tcPr>
          <w:p w14:paraId="452E61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1.934</w:t>
            </w:r>
          </w:p>
        </w:tc>
      </w:tr>
      <w:tr w14:paraId="7599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6F4685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noBreakHyphen/>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imer</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 (mg/L)</w:t>
            </w:r>
          </w:p>
        </w:tc>
        <w:tc>
          <w:tcPr>
            <w:tcW w:w="4261" w:type="dxa"/>
            <w:tcBorders>
              <w:top w:val="nil"/>
              <w:left w:val="nil"/>
              <w:bottom w:val="nil"/>
              <w:right w:val="nil"/>
            </w:tcBorders>
          </w:tcPr>
          <w:p w14:paraId="42ECEB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1.617</w:t>
            </w:r>
          </w:p>
        </w:tc>
      </w:tr>
      <w:tr w14:paraId="4065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5DD0E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PMH</w:t>
            </w:r>
          </w:p>
        </w:tc>
        <w:tc>
          <w:tcPr>
            <w:tcW w:w="4261" w:type="dxa"/>
            <w:tcBorders>
              <w:top w:val="nil"/>
              <w:left w:val="nil"/>
              <w:bottom w:val="nil"/>
              <w:right w:val="nil"/>
            </w:tcBorders>
          </w:tcPr>
          <w:p w14:paraId="179805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1.116</w:t>
            </w:r>
          </w:p>
        </w:tc>
      </w:tr>
      <w:tr w14:paraId="2848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3C97588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Oxy_ECG</w:t>
            </w:r>
          </w:p>
        </w:tc>
        <w:tc>
          <w:tcPr>
            <w:tcW w:w="4261" w:type="dxa"/>
            <w:tcBorders>
              <w:top w:val="nil"/>
              <w:left w:val="nil"/>
              <w:bottom w:val="nil"/>
              <w:right w:val="nil"/>
            </w:tcBorders>
          </w:tcPr>
          <w:p w14:paraId="5CC4FF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1.061</w:t>
            </w:r>
          </w:p>
        </w:tc>
      </w:tr>
      <w:tr w14:paraId="231D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D948D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MP</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w:t>
            </w:r>
          </w:p>
        </w:tc>
        <w:tc>
          <w:tcPr>
            <w:tcW w:w="4261" w:type="dxa"/>
            <w:tcBorders>
              <w:top w:val="nil"/>
              <w:left w:val="nil"/>
              <w:bottom w:val="nil"/>
              <w:right w:val="nil"/>
            </w:tcBorders>
          </w:tcPr>
          <w:p w14:paraId="3BC97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1.128</w:t>
            </w:r>
          </w:p>
        </w:tc>
      </w:tr>
      <w:tr w14:paraId="591D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single" w:color="auto" w:sz="12" w:space="0"/>
              <w:right w:val="nil"/>
            </w:tcBorders>
            <w:shd w:val="clear" w:color="auto" w:fill="auto"/>
            <w:vAlign w:val="top"/>
          </w:tcPr>
          <w:p w14:paraId="5220AB7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IS</w:t>
            </w:r>
          </w:p>
        </w:tc>
        <w:tc>
          <w:tcPr>
            <w:tcW w:w="4261" w:type="dxa"/>
            <w:tcBorders>
              <w:top w:val="nil"/>
              <w:left w:val="nil"/>
              <w:bottom w:val="single" w:color="auto" w:sz="12" w:space="0"/>
              <w:right w:val="nil"/>
            </w:tcBorders>
          </w:tcPr>
          <w:p w14:paraId="6D3E0C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1.092</w:t>
            </w:r>
          </w:p>
        </w:tc>
      </w:tr>
    </w:tbl>
    <w:p w14:paraId="0FBC0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p w14:paraId="45D348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b/>
          <w:bCs/>
          <w:color w:val="auto"/>
          <w:sz w:val="21"/>
          <w:szCs w:val="21"/>
          <w:lang w:val="en-US" w:eastAsia="zh-CN"/>
        </w:rPr>
        <w:t>Table S3</w:t>
      </w:r>
      <w:r>
        <w:rPr>
          <w:rFonts w:hint="eastAsia" w:ascii="Times New Roman" w:hAnsi="Times New Roman" w:eastAsia="宋体" w:cs="Times New Roman"/>
          <w:color w:val="auto"/>
          <w:sz w:val="21"/>
          <w:szCs w:val="21"/>
          <w:lang w:val="en-US" w:eastAsia="zh-CN"/>
        </w:rPr>
        <w:t xml:space="preserve"> Net Benefit of the Nomogram (DCA)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4B3E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12" w:space="0"/>
              <w:left w:val="nil"/>
              <w:bottom w:val="single" w:color="auto" w:sz="4" w:space="0"/>
              <w:right w:val="nil"/>
            </w:tcBorders>
            <w:vAlign w:val="center"/>
          </w:tcPr>
          <w:p w14:paraId="60CD88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Threshold</w:t>
            </w:r>
          </w:p>
        </w:tc>
        <w:tc>
          <w:tcPr>
            <w:tcW w:w="2130" w:type="dxa"/>
            <w:tcBorders>
              <w:top w:val="single" w:color="auto" w:sz="12" w:space="0"/>
              <w:left w:val="nil"/>
              <w:bottom w:val="single" w:color="auto" w:sz="4" w:space="0"/>
              <w:right w:val="nil"/>
            </w:tcBorders>
            <w:vAlign w:val="center"/>
          </w:tcPr>
          <w:p w14:paraId="13B545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NetBenefit</w:t>
            </w:r>
          </w:p>
        </w:tc>
        <w:tc>
          <w:tcPr>
            <w:tcW w:w="2131" w:type="dxa"/>
            <w:tcBorders>
              <w:top w:val="single" w:color="auto" w:sz="12" w:space="0"/>
              <w:left w:val="nil"/>
              <w:bottom w:val="single" w:color="auto" w:sz="4" w:space="0"/>
              <w:right w:val="nil"/>
            </w:tcBorders>
            <w:vAlign w:val="center"/>
          </w:tcPr>
          <w:p w14:paraId="5BDC68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CI_lower</w:t>
            </w:r>
          </w:p>
        </w:tc>
        <w:tc>
          <w:tcPr>
            <w:tcW w:w="2131" w:type="dxa"/>
            <w:tcBorders>
              <w:top w:val="single" w:color="auto" w:sz="12" w:space="0"/>
              <w:left w:val="nil"/>
              <w:bottom w:val="single" w:color="auto" w:sz="4" w:space="0"/>
              <w:right w:val="nil"/>
            </w:tcBorders>
            <w:vAlign w:val="center"/>
          </w:tcPr>
          <w:p w14:paraId="5A50D5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CI_upper</w:t>
            </w:r>
          </w:p>
        </w:tc>
      </w:tr>
      <w:tr w14:paraId="2D94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nil"/>
              <w:bottom w:val="nil"/>
              <w:right w:val="nil"/>
            </w:tcBorders>
            <w:vAlign w:val="center"/>
          </w:tcPr>
          <w:p w14:paraId="0C860B1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0.15</w:t>
            </w:r>
          </w:p>
        </w:tc>
        <w:tc>
          <w:tcPr>
            <w:tcW w:w="2130" w:type="dxa"/>
            <w:tcBorders>
              <w:top w:val="single" w:color="auto" w:sz="4" w:space="0"/>
              <w:left w:val="nil"/>
              <w:bottom w:val="nil"/>
              <w:right w:val="nil"/>
            </w:tcBorders>
            <w:vAlign w:val="center"/>
          </w:tcPr>
          <w:p w14:paraId="115B9D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0.057</w:t>
            </w:r>
          </w:p>
        </w:tc>
        <w:tc>
          <w:tcPr>
            <w:tcW w:w="2131" w:type="dxa"/>
            <w:tcBorders>
              <w:top w:val="single" w:color="auto" w:sz="4" w:space="0"/>
              <w:left w:val="nil"/>
              <w:bottom w:val="nil"/>
              <w:right w:val="nil"/>
            </w:tcBorders>
            <w:vAlign w:val="center"/>
          </w:tcPr>
          <w:p w14:paraId="0CBB0B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0.017</w:t>
            </w:r>
          </w:p>
        </w:tc>
        <w:tc>
          <w:tcPr>
            <w:tcW w:w="2131" w:type="dxa"/>
            <w:tcBorders>
              <w:top w:val="single" w:color="auto" w:sz="4" w:space="0"/>
              <w:left w:val="nil"/>
              <w:bottom w:val="nil"/>
              <w:right w:val="nil"/>
            </w:tcBorders>
            <w:vAlign w:val="center"/>
          </w:tcPr>
          <w:p w14:paraId="7E11A1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0.097</w:t>
            </w:r>
          </w:p>
        </w:tc>
      </w:tr>
      <w:tr w14:paraId="77D8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026DB7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0.20</w:t>
            </w:r>
          </w:p>
        </w:tc>
        <w:tc>
          <w:tcPr>
            <w:tcW w:w="2130" w:type="dxa"/>
            <w:tcBorders>
              <w:top w:val="nil"/>
              <w:left w:val="nil"/>
              <w:bottom w:val="nil"/>
              <w:right w:val="nil"/>
            </w:tcBorders>
            <w:vAlign w:val="center"/>
          </w:tcPr>
          <w:p w14:paraId="619B45B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0.036</w:t>
            </w:r>
          </w:p>
        </w:tc>
        <w:tc>
          <w:tcPr>
            <w:tcW w:w="2131" w:type="dxa"/>
            <w:tcBorders>
              <w:top w:val="nil"/>
              <w:left w:val="nil"/>
              <w:bottom w:val="nil"/>
              <w:right w:val="nil"/>
            </w:tcBorders>
            <w:vAlign w:val="center"/>
          </w:tcPr>
          <w:p w14:paraId="6B8F6FE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-0.005</w:t>
            </w:r>
          </w:p>
        </w:tc>
        <w:tc>
          <w:tcPr>
            <w:tcW w:w="2131" w:type="dxa"/>
            <w:tcBorders>
              <w:top w:val="nil"/>
              <w:left w:val="nil"/>
              <w:bottom w:val="nil"/>
              <w:right w:val="nil"/>
            </w:tcBorders>
            <w:vAlign w:val="center"/>
          </w:tcPr>
          <w:p w14:paraId="7B57406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0.079</w:t>
            </w:r>
          </w:p>
        </w:tc>
      </w:tr>
      <w:tr w14:paraId="03F3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3AB7C9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0.25</w:t>
            </w:r>
          </w:p>
        </w:tc>
        <w:tc>
          <w:tcPr>
            <w:tcW w:w="2130" w:type="dxa"/>
            <w:tcBorders>
              <w:top w:val="nil"/>
              <w:left w:val="nil"/>
              <w:bottom w:val="nil"/>
              <w:right w:val="nil"/>
            </w:tcBorders>
            <w:vAlign w:val="center"/>
          </w:tcPr>
          <w:p w14:paraId="073C10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0.027</w:t>
            </w:r>
          </w:p>
        </w:tc>
        <w:tc>
          <w:tcPr>
            <w:tcW w:w="2131" w:type="dxa"/>
            <w:tcBorders>
              <w:top w:val="nil"/>
              <w:left w:val="nil"/>
              <w:bottom w:val="nil"/>
              <w:right w:val="nil"/>
            </w:tcBorders>
            <w:vAlign w:val="center"/>
          </w:tcPr>
          <w:p w14:paraId="25BC40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-0.012</w:t>
            </w:r>
          </w:p>
        </w:tc>
        <w:tc>
          <w:tcPr>
            <w:tcW w:w="2131" w:type="dxa"/>
            <w:tcBorders>
              <w:top w:val="nil"/>
              <w:left w:val="nil"/>
              <w:bottom w:val="nil"/>
              <w:right w:val="nil"/>
            </w:tcBorders>
            <w:vAlign w:val="center"/>
          </w:tcPr>
          <w:p w14:paraId="42B8D0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0.072</w:t>
            </w:r>
          </w:p>
        </w:tc>
      </w:tr>
      <w:tr w14:paraId="67D3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4A933FF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0.30</w:t>
            </w:r>
          </w:p>
        </w:tc>
        <w:tc>
          <w:tcPr>
            <w:tcW w:w="2130" w:type="dxa"/>
            <w:tcBorders>
              <w:top w:val="nil"/>
              <w:left w:val="nil"/>
              <w:bottom w:val="nil"/>
              <w:right w:val="nil"/>
            </w:tcBorders>
            <w:vAlign w:val="center"/>
          </w:tcPr>
          <w:p w14:paraId="226229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0.025</w:t>
            </w:r>
          </w:p>
        </w:tc>
        <w:tc>
          <w:tcPr>
            <w:tcW w:w="2131" w:type="dxa"/>
            <w:tcBorders>
              <w:top w:val="nil"/>
              <w:left w:val="nil"/>
              <w:bottom w:val="nil"/>
              <w:right w:val="nil"/>
            </w:tcBorders>
            <w:vAlign w:val="center"/>
          </w:tcPr>
          <w:p w14:paraId="4A387C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-0.016</w:t>
            </w:r>
          </w:p>
        </w:tc>
        <w:tc>
          <w:tcPr>
            <w:tcW w:w="2131" w:type="dxa"/>
            <w:tcBorders>
              <w:top w:val="nil"/>
              <w:left w:val="nil"/>
              <w:bottom w:val="nil"/>
              <w:right w:val="nil"/>
            </w:tcBorders>
            <w:vAlign w:val="center"/>
          </w:tcPr>
          <w:p w14:paraId="20AE2A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0.068</w:t>
            </w:r>
          </w:p>
        </w:tc>
      </w:tr>
      <w:tr w14:paraId="1F92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74D58B6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0.50</w:t>
            </w:r>
          </w:p>
        </w:tc>
        <w:tc>
          <w:tcPr>
            <w:tcW w:w="2130" w:type="dxa"/>
            <w:tcBorders>
              <w:top w:val="nil"/>
              <w:left w:val="nil"/>
              <w:bottom w:val="nil"/>
              <w:right w:val="nil"/>
            </w:tcBorders>
            <w:vAlign w:val="center"/>
          </w:tcPr>
          <w:p w14:paraId="4C48241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-0.010</w:t>
            </w:r>
          </w:p>
        </w:tc>
        <w:tc>
          <w:tcPr>
            <w:tcW w:w="2131" w:type="dxa"/>
            <w:tcBorders>
              <w:top w:val="nil"/>
              <w:left w:val="nil"/>
              <w:bottom w:val="nil"/>
              <w:right w:val="nil"/>
            </w:tcBorders>
            <w:vAlign w:val="center"/>
          </w:tcPr>
          <w:p w14:paraId="0DECBCA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-0.050</w:t>
            </w:r>
          </w:p>
        </w:tc>
        <w:tc>
          <w:tcPr>
            <w:tcW w:w="2131" w:type="dxa"/>
            <w:tcBorders>
              <w:top w:val="nil"/>
              <w:left w:val="nil"/>
              <w:bottom w:val="nil"/>
              <w:right w:val="nil"/>
            </w:tcBorders>
            <w:vAlign w:val="center"/>
          </w:tcPr>
          <w:p w14:paraId="08832B7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0.030</w:t>
            </w:r>
          </w:p>
        </w:tc>
      </w:tr>
      <w:tr w14:paraId="0220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7B0038B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0.55</w:t>
            </w:r>
          </w:p>
        </w:tc>
        <w:tc>
          <w:tcPr>
            <w:tcW w:w="2130" w:type="dxa"/>
            <w:tcBorders>
              <w:top w:val="nil"/>
              <w:left w:val="nil"/>
              <w:bottom w:val="nil"/>
              <w:right w:val="nil"/>
            </w:tcBorders>
            <w:vAlign w:val="center"/>
          </w:tcPr>
          <w:p w14:paraId="63229B7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-0.001</w:t>
            </w:r>
          </w:p>
        </w:tc>
        <w:tc>
          <w:tcPr>
            <w:tcW w:w="2131" w:type="dxa"/>
            <w:tcBorders>
              <w:top w:val="nil"/>
              <w:left w:val="nil"/>
              <w:bottom w:val="nil"/>
              <w:right w:val="nil"/>
            </w:tcBorders>
            <w:vAlign w:val="center"/>
          </w:tcPr>
          <w:p w14:paraId="01762C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-0.038</w:t>
            </w:r>
          </w:p>
        </w:tc>
        <w:tc>
          <w:tcPr>
            <w:tcW w:w="2131" w:type="dxa"/>
            <w:tcBorders>
              <w:top w:val="nil"/>
              <w:left w:val="nil"/>
              <w:bottom w:val="nil"/>
              <w:right w:val="nil"/>
            </w:tcBorders>
            <w:vAlign w:val="center"/>
          </w:tcPr>
          <w:p w14:paraId="7C02C3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0.033</w:t>
            </w:r>
          </w:p>
        </w:tc>
      </w:tr>
      <w:tr w14:paraId="729E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25E81A8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0.60</w:t>
            </w:r>
          </w:p>
        </w:tc>
        <w:tc>
          <w:tcPr>
            <w:tcW w:w="2130" w:type="dxa"/>
            <w:tcBorders>
              <w:top w:val="nil"/>
              <w:left w:val="nil"/>
              <w:bottom w:val="nil"/>
              <w:right w:val="nil"/>
            </w:tcBorders>
            <w:vAlign w:val="center"/>
          </w:tcPr>
          <w:p w14:paraId="5145A33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-0.018</w:t>
            </w:r>
          </w:p>
        </w:tc>
        <w:tc>
          <w:tcPr>
            <w:tcW w:w="2131" w:type="dxa"/>
            <w:tcBorders>
              <w:top w:val="nil"/>
              <w:left w:val="nil"/>
              <w:bottom w:val="nil"/>
              <w:right w:val="nil"/>
            </w:tcBorders>
            <w:vAlign w:val="center"/>
          </w:tcPr>
          <w:p w14:paraId="42EE371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-0.060</w:t>
            </w:r>
          </w:p>
        </w:tc>
        <w:tc>
          <w:tcPr>
            <w:tcW w:w="2131" w:type="dxa"/>
            <w:tcBorders>
              <w:top w:val="nil"/>
              <w:left w:val="nil"/>
              <w:bottom w:val="nil"/>
              <w:right w:val="nil"/>
            </w:tcBorders>
            <w:vAlign w:val="center"/>
          </w:tcPr>
          <w:p w14:paraId="2D4392B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0.018</w:t>
            </w:r>
          </w:p>
        </w:tc>
      </w:tr>
      <w:tr w14:paraId="27E4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7DA63DE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0.65</w:t>
            </w:r>
          </w:p>
        </w:tc>
        <w:tc>
          <w:tcPr>
            <w:tcW w:w="2130" w:type="dxa"/>
            <w:tcBorders>
              <w:top w:val="nil"/>
              <w:left w:val="nil"/>
              <w:bottom w:val="nil"/>
              <w:right w:val="nil"/>
            </w:tcBorders>
            <w:vAlign w:val="center"/>
          </w:tcPr>
          <w:p w14:paraId="7A15A6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-0.017</w:t>
            </w:r>
          </w:p>
        </w:tc>
        <w:tc>
          <w:tcPr>
            <w:tcW w:w="2131" w:type="dxa"/>
            <w:tcBorders>
              <w:top w:val="nil"/>
              <w:left w:val="nil"/>
              <w:bottom w:val="nil"/>
              <w:right w:val="nil"/>
            </w:tcBorders>
            <w:vAlign w:val="center"/>
          </w:tcPr>
          <w:p w14:paraId="3E3A3B1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-0.060</w:t>
            </w:r>
          </w:p>
        </w:tc>
        <w:tc>
          <w:tcPr>
            <w:tcW w:w="2131" w:type="dxa"/>
            <w:tcBorders>
              <w:top w:val="nil"/>
              <w:left w:val="nil"/>
              <w:bottom w:val="nil"/>
              <w:right w:val="nil"/>
            </w:tcBorders>
            <w:vAlign w:val="center"/>
          </w:tcPr>
          <w:p w14:paraId="0B2B97D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0.022</w:t>
            </w:r>
          </w:p>
        </w:tc>
      </w:tr>
      <w:tr w14:paraId="0A29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31C7C04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0.75</w:t>
            </w:r>
          </w:p>
        </w:tc>
        <w:tc>
          <w:tcPr>
            <w:tcW w:w="2130" w:type="dxa"/>
            <w:tcBorders>
              <w:top w:val="nil"/>
              <w:left w:val="nil"/>
              <w:bottom w:val="nil"/>
              <w:right w:val="nil"/>
            </w:tcBorders>
            <w:vAlign w:val="center"/>
          </w:tcPr>
          <w:p w14:paraId="17810A8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-0.030</w:t>
            </w:r>
          </w:p>
        </w:tc>
        <w:tc>
          <w:tcPr>
            <w:tcW w:w="2131" w:type="dxa"/>
            <w:tcBorders>
              <w:top w:val="nil"/>
              <w:left w:val="nil"/>
              <w:bottom w:val="nil"/>
              <w:right w:val="nil"/>
            </w:tcBorders>
            <w:vAlign w:val="center"/>
          </w:tcPr>
          <w:p w14:paraId="74988D5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-0.090</w:t>
            </w:r>
          </w:p>
        </w:tc>
        <w:tc>
          <w:tcPr>
            <w:tcW w:w="2131" w:type="dxa"/>
            <w:tcBorders>
              <w:top w:val="nil"/>
              <w:left w:val="nil"/>
              <w:bottom w:val="nil"/>
              <w:right w:val="nil"/>
            </w:tcBorders>
            <w:vAlign w:val="center"/>
          </w:tcPr>
          <w:p w14:paraId="121AD0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0.020</w:t>
            </w:r>
          </w:p>
        </w:tc>
      </w:tr>
      <w:tr w14:paraId="46DE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nil"/>
              <w:right w:val="nil"/>
            </w:tcBorders>
            <w:vAlign w:val="center"/>
          </w:tcPr>
          <w:p w14:paraId="0B94F7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0.80</w:t>
            </w:r>
          </w:p>
        </w:tc>
        <w:tc>
          <w:tcPr>
            <w:tcW w:w="2130" w:type="dxa"/>
            <w:tcBorders>
              <w:top w:val="nil"/>
              <w:left w:val="nil"/>
              <w:bottom w:val="nil"/>
              <w:right w:val="nil"/>
            </w:tcBorders>
            <w:vAlign w:val="center"/>
          </w:tcPr>
          <w:p w14:paraId="590911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-0.010</w:t>
            </w:r>
          </w:p>
        </w:tc>
        <w:tc>
          <w:tcPr>
            <w:tcW w:w="2131" w:type="dxa"/>
            <w:tcBorders>
              <w:top w:val="nil"/>
              <w:left w:val="nil"/>
              <w:bottom w:val="nil"/>
              <w:right w:val="nil"/>
            </w:tcBorders>
            <w:vAlign w:val="center"/>
          </w:tcPr>
          <w:p w14:paraId="0DA12FA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-0.060</w:t>
            </w:r>
          </w:p>
        </w:tc>
        <w:tc>
          <w:tcPr>
            <w:tcW w:w="2131" w:type="dxa"/>
            <w:tcBorders>
              <w:top w:val="nil"/>
              <w:left w:val="nil"/>
              <w:bottom w:val="nil"/>
              <w:right w:val="nil"/>
            </w:tcBorders>
            <w:vAlign w:val="center"/>
          </w:tcPr>
          <w:p w14:paraId="4B057CD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0.020</w:t>
            </w:r>
          </w:p>
        </w:tc>
      </w:tr>
      <w:tr w14:paraId="10AC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nil"/>
              <w:left w:val="nil"/>
              <w:bottom w:val="single" w:color="auto" w:sz="12" w:space="0"/>
              <w:right w:val="nil"/>
            </w:tcBorders>
            <w:vAlign w:val="center"/>
          </w:tcPr>
          <w:p w14:paraId="09ACE5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0.90</w:t>
            </w:r>
          </w:p>
        </w:tc>
        <w:tc>
          <w:tcPr>
            <w:tcW w:w="2130" w:type="dxa"/>
            <w:tcBorders>
              <w:top w:val="nil"/>
              <w:left w:val="nil"/>
              <w:bottom w:val="single" w:color="auto" w:sz="12" w:space="0"/>
              <w:right w:val="nil"/>
            </w:tcBorders>
            <w:vAlign w:val="center"/>
          </w:tcPr>
          <w:p w14:paraId="5F7D2C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0.005</w:t>
            </w:r>
          </w:p>
        </w:tc>
        <w:tc>
          <w:tcPr>
            <w:tcW w:w="2131" w:type="dxa"/>
            <w:tcBorders>
              <w:top w:val="nil"/>
              <w:left w:val="nil"/>
              <w:bottom w:val="single" w:color="auto" w:sz="12" w:space="0"/>
              <w:right w:val="nil"/>
            </w:tcBorders>
            <w:vAlign w:val="center"/>
          </w:tcPr>
          <w:p w14:paraId="60D5F82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0.005</w:t>
            </w:r>
          </w:p>
        </w:tc>
        <w:tc>
          <w:tcPr>
            <w:tcW w:w="2131" w:type="dxa"/>
            <w:tcBorders>
              <w:top w:val="nil"/>
              <w:left w:val="nil"/>
              <w:bottom w:val="single" w:color="auto" w:sz="12" w:space="0"/>
              <w:right w:val="nil"/>
            </w:tcBorders>
            <w:vAlign w:val="center"/>
          </w:tcPr>
          <w:p w14:paraId="21B944A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0.020</w:t>
            </w:r>
          </w:p>
        </w:tc>
      </w:tr>
    </w:tbl>
    <w:p w14:paraId="592DFB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b/>
          <w:bCs/>
          <w:color w:val="auto"/>
          <w:sz w:val="21"/>
          <w:szCs w:val="21"/>
          <w:lang w:val="en-US" w:eastAsia="zh-CN"/>
        </w:rPr>
        <w:t xml:space="preserve">Note: </w:t>
      </w:r>
      <w:r>
        <w:rPr>
          <w:rFonts w:hint="eastAsia" w:ascii="Times New Roman" w:hAnsi="Times New Roman" w:eastAsia="宋体" w:cs="Times New Roman"/>
          <w:color w:val="auto"/>
          <w:sz w:val="21"/>
          <w:szCs w:val="21"/>
          <w:lang w:val="en-US" w:eastAsia="zh-CN"/>
        </w:rPr>
        <w:t xml:space="preserve">Threshold: Predicted probability cutoffs for IPCs. </w:t>
      </w:r>
    </w:p>
    <w:p w14:paraId="44D201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High-risk range: 0.50–0.90, used to assess performance in patients with high predicted risk.</w:t>
      </w:r>
    </w:p>
    <w:p w14:paraId="293E0F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 xml:space="preserve">NetBenefit: Calculated as (TP/n)–(FP/n)×(pt/(1–pt)), with 95% CIs obtained by bootstrap (1,000 resamples). </w:t>
      </w:r>
    </w:p>
    <w:p w14:paraId="4694B9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Key ranges: 0.15–0.30 (middle-risk), 0.50–0.90 (high-risk).</w:t>
      </w:r>
    </w:p>
    <w:p w14:paraId="770091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bookmarkStart w:id="0" w:name="_GoBack"/>
      <w:bookmarkEnd w:id="0"/>
    </w:p>
    <w:p w14:paraId="60D5AE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p w14:paraId="3BA8F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p w14:paraId="762624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p w14:paraId="79F77C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70C0"/>
          <w:sz w:val="21"/>
          <w:szCs w:val="21"/>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519C1"/>
    <w:rsid w:val="01FF1E15"/>
    <w:rsid w:val="0B9C6927"/>
    <w:rsid w:val="0DFF319D"/>
    <w:rsid w:val="14151024"/>
    <w:rsid w:val="19AF1F1B"/>
    <w:rsid w:val="254D5C42"/>
    <w:rsid w:val="26BE0C48"/>
    <w:rsid w:val="2A225DF1"/>
    <w:rsid w:val="33096785"/>
    <w:rsid w:val="36A213E1"/>
    <w:rsid w:val="37ED3EE3"/>
    <w:rsid w:val="569C0B56"/>
    <w:rsid w:val="57284198"/>
    <w:rsid w:val="58797BA1"/>
    <w:rsid w:val="5C156D4B"/>
    <w:rsid w:val="65950B74"/>
    <w:rsid w:val="6C663340"/>
    <w:rsid w:val="6DAC1227"/>
    <w:rsid w:val="7143074C"/>
    <w:rsid w:val="72BF7C4E"/>
    <w:rsid w:val="744745D5"/>
    <w:rsid w:val="7579026E"/>
    <w:rsid w:val="7CF6426C"/>
    <w:rsid w:val="7D7E4262"/>
    <w:rsid w:val="7F235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330</Words>
  <Characters>1863</Characters>
  <Lines>0</Lines>
  <Paragraphs>0</Paragraphs>
  <TotalTime>8</TotalTime>
  <ScaleCrop>false</ScaleCrop>
  <LinksUpToDate>false</LinksUpToDate>
  <CharactersWithSpaces>2089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2025-09-02T03:01:00Z</dcterms:created>
  <dc:creator>pdp</dc:creator>
  <cp:lastModifiedBy>罐罐</cp:lastModifiedBy>
  <dcterms:modified xsi:type="dcterms:W3CDTF">2026-05-17T09:03:06Z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eyJoZGlkIjoiOGQ5MDBlYWRhYjYxYmY4MmZlZmE2NjEwMmYxYmVjMjIiLCJ1c2VySWQiOiIyODAxNTUyMDYifQ==</vt:lpwstr>
  </property>
  <property fmtid="{D5CDD505-2E9C-101B-9397-08002B2CF9AE}" pid="4" name="ICV">
    <vt:lpwstr>55EF6F4C16454A288D0FEE97E375BD8F_12</vt:lpwstr>
  </property>
</Properties>
</file>