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0AC" w:rsidRPr="00205953" w:rsidRDefault="00205953">
      <w:pPr>
        <w:spacing w:after="360" w:line="360" w:lineRule="auto"/>
        <w:jc w:val="center"/>
        <w:rPr>
          <w:sz w:val="24"/>
          <w:szCs w:val="24"/>
        </w:rPr>
      </w:pPr>
      <w:bookmarkStart w:id="0" w:name="_GoBack"/>
      <w:bookmarkEnd w:id="0"/>
      <w:r w:rsidRPr="00205953">
        <w:rPr>
          <w:b/>
          <w:sz w:val="24"/>
          <w:szCs w:val="24"/>
        </w:rPr>
        <w:t>Supplementary Information</w:t>
      </w:r>
    </w:p>
    <w:p w:rsidR="00A850AC" w:rsidRPr="00205953" w:rsidRDefault="00205953">
      <w:pPr>
        <w:spacing w:after="240" w:line="360" w:lineRule="auto"/>
        <w:jc w:val="center"/>
        <w:rPr>
          <w:sz w:val="24"/>
          <w:szCs w:val="24"/>
        </w:rPr>
      </w:pPr>
      <w:r w:rsidRPr="00205953">
        <w:rPr>
          <w:b/>
          <w:sz w:val="24"/>
          <w:szCs w:val="24"/>
        </w:rPr>
        <w:t>Efficacy and Safety Profile of Multi-Depth Microfocused Ultrasound and Microneedle Radiofrequency for Facial Tightening: A Prospective Split-Face Randomized Trial</w:t>
      </w:r>
    </w:p>
    <w:p w:rsidR="00A850AC" w:rsidRPr="00205953" w:rsidRDefault="00205953">
      <w:pPr>
        <w:spacing w:line="360" w:lineRule="auto"/>
        <w:jc w:val="center"/>
        <w:rPr>
          <w:sz w:val="24"/>
          <w:szCs w:val="24"/>
        </w:rPr>
      </w:pPr>
      <w:r w:rsidRPr="00205953">
        <w:rPr>
          <w:sz w:val="24"/>
          <w:szCs w:val="24"/>
        </w:rPr>
        <w:t xml:space="preserve">Jiafang Zhu, M.D.1#, Yue Han, M.D.1#, Wei Gao, M.D.1#, Rui Chang, </w:t>
      </w:r>
      <w:r w:rsidRPr="00205953">
        <w:rPr>
          <w:sz w:val="24"/>
          <w:szCs w:val="24"/>
        </w:rPr>
        <w:t>M.D.2, Ying Shang, M.S.1, Wenxin Yu, M.D., Ph.D.1, Linting Huang, M.D., Ph.D.1, Xianglei Wu M.D., Ph.D.1, Wei Fang, M.D., Ph.D.1, Zhen Zhang, M.D., Ph.D.1, Dongze Lyu, M.D.2, Lingyue Shen, M.D., Ph.D.1*, Xiaoxi Lin M.D., Ph.D.1*</w:t>
      </w:r>
    </w:p>
    <w:p w:rsidR="00A850AC" w:rsidRPr="00205953" w:rsidRDefault="00205953">
      <w:pPr>
        <w:spacing w:after="80" w:line="360" w:lineRule="auto"/>
        <w:jc w:val="center"/>
        <w:rPr>
          <w:sz w:val="24"/>
          <w:szCs w:val="24"/>
        </w:rPr>
      </w:pPr>
      <w:r w:rsidRPr="00205953">
        <w:rPr>
          <w:sz w:val="24"/>
          <w:szCs w:val="24"/>
        </w:rPr>
        <w:t>1Department of Laser and Ae</w:t>
      </w:r>
      <w:r w:rsidRPr="00205953">
        <w:rPr>
          <w:sz w:val="24"/>
          <w:szCs w:val="24"/>
        </w:rPr>
        <w:t>sthetic Medicine, Shanghai Ninth People’s Hospital, Shanghai Jiao Tong University School of Medicine, Shanghai, 200011, China</w:t>
      </w:r>
    </w:p>
    <w:p w:rsidR="00A850AC" w:rsidRPr="00205953" w:rsidRDefault="00205953">
      <w:pPr>
        <w:spacing w:after="80" w:line="360" w:lineRule="auto"/>
        <w:jc w:val="center"/>
        <w:rPr>
          <w:sz w:val="24"/>
          <w:szCs w:val="24"/>
        </w:rPr>
      </w:pPr>
      <w:r w:rsidRPr="00205953">
        <w:rPr>
          <w:sz w:val="24"/>
          <w:szCs w:val="24"/>
        </w:rPr>
        <w:t>2Department of Plastic and Reconstructive Surgery, Shanghai Ninth People's Hospital, Shanghai Jiao Tong University School of Medic</w:t>
      </w:r>
      <w:r w:rsidRPr="00205953">
        <w:rPr>
          <w:sz w:val="24"/>
          <w:szCs w:val="24"/>
        </w:rPr>
        <w:t>ine, Shanghai, 200011, China.</w:t>
      </w:r>
    </w:p>
    <w:p w:rsidR="00A850AC" w:rsidRPr="00205953" w:rsidRDefault="00205953">
      <w:pPr>
        <w:spacing w:after="80" w:line="360" w:lineRule="auto"/>
        <w:jc w:val="center"/>
        <w:rPr>
          <w:sz w:val="24"/>
          <w:szCs w:val="24"/>
        </w:rPr>
      </w:pPr>
      <w:r w:rsidRPr="00205953">
        <w:rPr>
          <w:sz w:val="24"/>
          <w:szCs w:val="24"/>
        </w:rPr>
        <w:t>#These authors contributed equally to this work and should be considered co-first authors.</w:t>
      </w:r>
    </w:p>
    <w:p w:rsidR="00A850AC" w:rsidRPr="00205953" w:rsidRDefault="00205953">
      <w:pPr>
        <w:spacing w:before="400" w:after="160" w:line="360" w:lineRule="auto"/>
        <w:rPr>
          <w:sz w:val="24"/>
          <w:szCs w:val="24"/>
        </w:rPr>
      </w:pPr>
      <w:r w:rsidRPr="00205953">
        <w:rPr>
          <w:b/>
          <w:sz w:val="24"/>
          <w:szCs w:val="24"/>
        </w:rPr>
        <w:t>Contents</w:t>
      </w:r>
    </w:p>
    <w:p w:rsidR="00A850AC" w:rsidRPr="00205953" w:rsidRDefault="00205953">
      <w:pPr>
        <w:spacing w:after="60" w:line="360" w:lineRule="auto"/>
        <w:ind w:left="216" w:hanging="216"/>
        <w:rPr>
          <w:sz w:val="24"/>
          <w:szCs w:val="24"/>
        </w:rPr>
      </w:pPr>
      <w:r w:rsidRPr="00205953">
        <w:rPr>
          <w:sz w:val="24"/>
          <w:szCs w:val="24"/>
        </w:rPr>
        <w:t>• Supplementary Methods</w:t>
      </w:r>
    </w:p>
    <w:p w:rsidR="00A850AC" w:rsidRPr="00205953" w:rsidRDefault="00205953">
      <w:pPr>
        <w:spacing w:after="60" w:line="360" w:lineRule="auto"/>
        <w:ind w:left="216" w:hanging="216"/>
        <w:rPr>
          <w:sz w:val="24"/>
          <w:szCs w:val="24"/>
        </w:rPr>
      </w:pPr>
      <w:r w:rsidRPr="00205953">
        <w:rPr>
          <w:sz w:val="24"/>
          <w:szCs w:val="24"/>
        </w:rPr>
        <w:t>• Supplementary Results</w:t>
      </w:r>
    </w:p>
    <w:p w:rsidR="00A850AC" w:rsidRPr="00205953" w:rsidRDefault="00205953">
      <w:pPr>
        <w:spacing w:after="60" w:line="360" w:lineRule="auto"/>
        <w:ind w:left="216" w:hanging="216"/>
        <w:rPr>
          <w:sz w:val="24"/>
          <w:szCs w:val="24"/>
        </w:rPr>
      </w:pPr>
      <w:r w:rsidRPr="00205953">
        <w:rPr>
          <w:sz w:val="24"/>
          <w:szCs w:val="24"/>
        </w:rPr>
        <w:t xml:space="preserve">• Supplementary Figure S1. </w:t>
      </w:r>
      <w:r w:rsidRPr="00205953">
        <w:rPr>
          <w:sz w:val="24"/>
          <w:szCs w:val="24"/>
        </w:rPr>
        <w:t>Anatomical definition of areas of interest (AOIs) a</w:t>
      </w:r>
      <w:r w:rsidRPr="00205953">
        <w:rPr>
          <w:sz w:val="24"/>
          <w:szCs w:val="24"/>
        </w:rPr>
        <w:t>nd ultrasound measurement points.</w:t>
      </w:r>
    </w:p>
    <w:p w:rsidR="00A850AC" w:rsidRPr="00205953" w:rsidRDefault="00205953">
      <w:pPr>
        <w:spacing w:after="60" w:line="360" w:lineRule="auto"/>
        <w:ind w:left="216" w:hanging="216"/>
        <w:rPr>
          <w:sz w:val="24"/>
          <w:szCs w:val="24"/>
        </w:rPr>
      </w:pPr>
      <w:r w:rsidRPr="00205953">
        <w:rPr>
          <w:sz w:val="24"/>
          <w:szCs w:val="24"/>
        </w:rPr>
        <w:t xml:space="preserve">• Supplementary Figure S2. </w:t>
      </w:r>
      <w:r w:rsidRPr="00205953">
        <w:rPr>
          <w:sz w:val="24"/>
          <w:szCs w:val="24"/>
          <w:lang w:eastAsia="zh-CN"/>
        </w:rPr>
        <w:t>Thermal Coagulation Profiles and Histological Validation of Ultrasound Transducers.</w:t>
      </w:r>
    </w:p>
    <w:p w:rsidR="00A850AC" w:rsidRPr="00205953" w:rsidRDefault="00205953">
      <w:pPr>
        <w:spacing w:after="60" w:line="360" w:lineRule="auto"/>
        <w:ind w:left="216" w:hanging="216"/>
        <w:rPr>
          <w:sz w:val="24"/>
          <w:szCs w:val="24"/>
        </w:rPr>
      </w:pPr>
      <w:r w:rsidRPr="00205953">
        <w:rPr>
          <w:sz w:val="24"/>
          <w:szCs w:val="24"/>
        </w:rPr>
        <w:t>• Supplementary Table S1. Treatment parameters and target tissue layers of MFUS handpieces</w:t>
      </w:r>
    </w:p>
    <w:p w:rsidR="00A850AC" w:rsidRPr="00205953" w:rsidRDefault="00205953">
      <w:pPr>
        <w:spacing w:after="60" w:line="360" w:lineRule="auto"/>
        <w:ind w:left="216" w:hanging="216"/>
        <w:rPr>
          <w:sz w:val="24"/>
          <w:szCs w:val="24"/>
        </w:rPr>
      </w:pPr>
      <w:r w:rsidRPr="00205953">
        <w:rPr>
          <w:sz w:val="24"/>
          <w:szCs w:val="24"/>
        </w:rPr>
        <w:t>• Supplementary Tabl</w:t>
      </w:r>
      <w:r w:rsidRPr="00205953">
        <w:rPr>
          <w:sz w:val="24"/>
          <w:szCs w:val="24"/>
        </w:rPr>
        <w:t>e S2. Comparison of neural adverse events reported after MFUS-based facial tightening treatments</w:t>
      </w:r>
    </w:p>
    <w:p w:rsidR="00A850AC" w:rsidRPr="00205953" w:rsidRDefault="00205953">
      <w:pPr>
        <w:spacing w:after="60" w:line="360" w:lineRule="auto"/>
        <w:ind w:left="216" w:hanging="216"/>
        <w:rPr>
          <w:sz w:val="24"/>
          <w:szCs w:val="24"/>
        </w:rPr>
      </w:pPr>
      <w:r w:rsidRPr="00205953">
        <w:rPr>
          <w:sz w:val="24"/>
          <w:szCs w:val="24"/>
        </w:rPr>
        <w:t>• Supplementary Table S3. Changes in the six prespecified VISIA-derived skin-quality parameters</w:t>
      </w:r>
    </w:p>
    <w:p w:rsidR="00A850AC" w:rsidRPr="00205953" w:rsidRDefault="00205953">
      <w:pPr>
        <w:spacing w:line="360" w:lineRule="auto"/>
        <w:rPr>
          <w:sz w:val="24"/>
          <w:szCs w:val="24"/>
        </w:rPr>
      </w:pPr>
      <w:r w:rsidRPr="00205953">
        <w:rPr>
          <w:sz w:val="24"/>
          <w:szCs w:val="24"/>
        </w:rPr>
        <w:br w:type="page"/>
      </w:r>
    </w:p>
    <w:p w:rsidR="00A850AC" w:rsidRPr="00205953" w:rsidRDefault="00205953">
      <w:pPr>
        <w:pStyle w:val="Heading1"/>
        <w:spacing w:line="360" w:lineRule="auto"/>
        <w:rPr>
          <w:color w:val="auto"/>
          <w:sz w:val="24"/>
          <w:szCs w:val="24"/>
        </w:rPr>
      </w:pPr>
      <w:r w:rsidRPr="00205953">
        <w:rPr>
          <w:rFonts w:ascii="Times New Roman" w:eastAsia="Times New Roman" w:hAnsi="Times New Roman"/>
          <w:color w:val="auto"/>
          <w:sz w:val="24"/>
          <w:szCs w:val="24"/>
        </w:rPr>
        <w:lastRenderedPageBreak/>
        <w:t>Supplementary Methods</w:t>
      </w:r>
    </w:p>
    <w:p w:rsidR="00A850AC" w:rsidRPr="00205953" w:rsidRDefault="00205953">
      <w:pPr>
        <w:pStyle w:val="Heading2"/>
        <w:spacing w:line="360" w:lineRule="auto"/>
        <w:rPr>
          <w:color w:val="auto"/>
          <w:sz w:val="24"/>
          <w:szCs w:val="24"/>
        </w:rPr>
      </w:pPr>
      <w:r w:rsidRPr="00205953">
        <w:rPr>
          <w:rFonts w:ascii="Times New Roman" w:eastAsia="Times New Roman" w:hAnsi="Times New Roman"/>
          <w:color w:val="auto"/>
          <w:sz w:val="24"/>
          <w:szCs w:val="24"/>
        </w:rPr>
        <w:t>Silica gel phantom and histometric eval</w:t>
      </w:r>
      <w:r w:rsidRPr="00205953">
        <w:rPr>
          <w:rFonts w:ascii="Times New Roman" w:eastAsia="Times New Roman" w:hAnsi="Times New Roman"/>
          <w:color w:val="auto"/>
          <w:sz w:val="24"/>
          <w:szCs w:val="24"/>
        </w:rPr>
        <w:t>uation</w:t>
      </w:r>
    </w:p>
    <w:p w:rsidR="00A850AC" w:rsidRPr="00205953" w:rsidRDefault="00205953">
      <w:pPr>
        <w:spacing w:after="120" w:line="360" w:lineRule="auto"/>
        <w:rPr>
          <w:sz w:val="24"/>
          <w:szCs w:val="24"/>
        </w:rPr>
      </w:pPr>
      <w:r w:rsidRPr="00205953">
        <w:rPr>
          <w:sz w:val="24"/>
          <w:szCs w:val="24"/>
        </w:rPr>
        <w:t>The safety and spatial distribution of thermal coagulation points (TCPs) produced by the MFUS device were evaluated using a silica gel phantom and ex vivo histometric assessment. TCP spatial distribution was analyzed for six transducers (6.8 W for t</w:t>
      </w:r>
      <w:r w:rsidRPr="00205953">
        <w:rPr>
          <w:sz w:val="24"/>
          <w:szCs w:val="24"/>
        </w:rPr>
        <w:t>he 4.5-mm and 3.0-mm transducers; 3 W for the 2.0-mm transducer) on a homogeneous phantom. Focal depths of TCPs were measured using a ruler-referenced method and high-speed photography.</w:t>
      </w:r>
    </w:p>
    <w:p w:rsidR="00A850AC" w:rsidRPr="00205953" w:rsidRDefault="00205953">
      <w:pPr>
        <w:spacing w:after="120" w:line="360" w:lineRule="auto"/>
        <w:rPr>
          <w:sz w:val="24"/>
          <w:szCs w:val="24"/>
        </w:rPr>
      </w:pPr>
      <w:r w:rsidRPr="00205953">
        <w:rPr>
          <w:sz w:val="24"/>
          <w:szCs w:val="24"/>
        </w:rPr>
        <w:t>For histology, donated excised full-thickness skin specimens from a 23</w:t>
      </w:r>
      <w:r w:rsidRPr="00205953">
        <w:rPr>
          <w:sz w:val="24"/>
          <w:szCs w:val="24"/>
        </w:rPr>
        <w:t>-year-old patient with a café-au-lait macule were treated with the M2.0 handpiece and subjected to hematoxylin and eosin staining to assess thermal coagulation.</w:t>
      </w:r>
    </w:p>
    <w:p w:rsidR="00A850AC" w:rsidRPr="00205953" w:rsidRDefault="00205953">
      <w:pPr>
        <w:pStyle w:val="Heading1"/>
        <w:spacing w:line="360" w:lineRule="auto"/>
        <w:rPr>
          <w:color w:val="auto"/>
          <w:sz w:val="24"/>
          <w:szCs w:val="24"/>
        </w:rPr>
      </w:pPr>
      <w:r w:rsidRPr="00205953">
        <w:rPr>
          <w:rFonts w:ascii="Times New Roman" w:eastAsia="Times New Roman" w:hAnsi="Times New Roman"/>
          <w:color w:val="auto"/>
          <w:sz w:val="24"/>
          <w:szCs w:val="24"/>
        </w:rPr>
        <w:t>Supplementary Results</w:t>
      </w:r>
    </w:p>
    <w:p w:rsidR="00A850AC" w:rsidRPr="00205953" w:rsidRDefault="00205953">
      <w:pPr>
        <w:spacing w:after="120" w:line="360" w:lineRule="auto"/>
        <w:rPr>
          <w:sz w:val="24"/>
          <w:szCs w:val="24"/>
        </w:rPr>
      </w:pPr>
      <w:r w:rsidRPr="00205953">
        <w:rPr>
          <w:sz w:val="24"/>
          <w:szCs w:val="24"/>
        </w:rPr>
        <w:t>The silica gel phantom experiments consistently demonstrated wedge-shaped</w:t>
      </w:r>
      <w:r w:rsidRPr="00205953">
        <w:rPr>
          <w:sz w:val="24"/>
          <w:szCs w:val="24"/>
        </w:rPr>
        <w:t xml:space="preserve"> thermal coagulation profiles across all transducer configurations. Quantitative depth analysis showed that the M4.5/D4.5 transducers produced coagulation zones spanning 2.0–5.5 mm, with maximal focusing at 2.0–4.0 mm. The M3.0/D3.0 variants achieved 1.5–5</w:t>
      </w:r>
      <w:r w:rsidRPr="00205953">
        <w:rPr>
          <w:sz w:val="24"/>
          <w:szCs w:val="24"/>
        </w:rPr>
        <w:t>.0 mm and 1.0–5.0 mm penetration, respectively, with maximal focusing at 1.5/1.0–3.0 mm. The M2.0/D2.0 system produced the most superficial effect, with a total depth of 1.0–3.0 mm and maximal focusing at 1.0–2.0 mm (Supplementary Figure S</w:t>
      </w:r>
      <w:r w:rsidRPr="00205953">
        <w:rPr>
          <w:rFonts w:eastAsia="SimSun" w:hint="eastAsia"/>
          <w:sz w:val="24"/>
          <w:szCs w:val="24"/>
          <w:lang w:eastAsia="zh-CN"/>
        </w:rPr>
        <w:t>2</w:t>
      </w:r>
      <w:r w:rsidRPr="00205953">
        <w:rPr>
          <w:sz w:val="24"/>
          <w:szCs w:val="24"/>
        </w:rPr>
        <w:t>).</w:t>
      </w:r>
    </w:p>
    <w:p w:rsidR="00A850AC" w:rsidRPr="00205953" w:rsidRDefault="00205953">
      <w:pPr>
        <w:spacing w:after="120" w:line="360" w:lineRule="auto"/>
        <w:rPr>
          <w:sz w:val="24"/>
          <w:szCs w:val="24"/>
        </w:rPr>
      </w:pPr>
      <w:r w:rsidRPr="00205953">
        <w:rPr>
          <w:sz w:val="24"/>
          <w:szCs w:val="24"/>
        </w:rPr>
        <w:t>Histopatholog</w:t>
      </w:r>
      <w:r w:rsidRPr="00205953">
        <w:rPr>
          <w:sz w:val="24"/>
          <w:szCs w:val="24"/>
        </w:rPr>
        <w:t xml:space="preserve">ical evaluation confirmed that the M2.0 handpiece produced </w:t>
      </w:r>
      <w:r w:rsidRPr="00205953">
        <w:rPr>
          <w:rFonts w:hint="eastAsia"/>
          <w:sz w:val="24"/>
          <w:szCs w:val="24"/>
        </w:rPr>
        <w:t>selective dermal coagulation columns measuring approximately 1,480 μm in depth and 782 μm in length</w:t>
      </w:r>
      <w:r w:rsidRPr="00205953">
        <w:rPr>
          <w:rFonts w:eastAsia="SimSun" w:hint="eastAsia"/>
          <w:sz w:val="24"/>
          <w:szCs w:val="24"/>
          <w:lang w:eastAsia="zh-CN"/>
        </w:rPr>
        <w:t xml:space="preserve"> </w:t>
      </w:r>
      <w:r w:rsidRPr="00205953">
        <w:rPr>
          <w:sz w:val="24"/>
          <w:szCs w:val="24"/>
        </w:rPr>
        <w:t>while completely preserving the epidermis (Supplementary Figure S</w:t>
      </w:r>
      <w:r w:rsidRPr="00205953">
        <w:rPr>
          <w:rFonts w:eastAsia="SimSun" w:hint="eastAsia"/>
          <w:sz w:val="24"/>
          <w:szCs w:val="24"/>
          <w:lang w:eastAsia="zh-CN"/>
        </w:rPr>
        <w:t>2</w:t>
      </w:r>
      <w:r w:rsidRPr="00205953">
        <w:rPr>
          <w:sz w:val="24"/>
          <w:szCs w:val="24"/>
        </w:rPr>
        <w:t>). Partial injury to intraderma</w:t>
      </w:r>
      <w:r w:rsidRPr="00205953">
        <w:rPr>
          <w:sz w:val="24"/>
          <w:szCs w:val="24"/>
        </w:rPr>
        <w:t>l adipose tissue was observed (Supplementary Figure S</w:t>
      </w:r>
      <w:r w:rsidRPr="00205953">
        <w:rPr>
          <w:rFonts w:eastAsia="SimSun" w:hint="eastAsia"/>
          <w:sz w:val="24"/>
          <w:szCs w:val="24"/>
          <w:lang w:eastAsia="zh-CN"/>
        </w:rPr>
        <w:t>2</w:t>
      </w:r>
      <w:r w:rsidRPr="00205953">
        <w:rPr>
          <w:sz w:val="24"/>
          <w:szCs w:val="24"/>
        </w:rPr>
        <w:t>).</w:t>
      </w:r>
    </w:p>
    <w:p w:rsidR="00A850AC" w:rsidRPr="00205953" w:rsidRDefault="00205953">
      <w:pPr>
        <w:rPr>
          <w:sz w:val="24"/>
          <w:szCs w:val="24"/>
        </w:rPr>
      </w:pPr>
      <w:r w:rsidRPr="00205953">
        <w:rPr>
          <w:sz w:val="24"/>
          <w:szCs w:val="24"/>
        </w:rPr>
        <w:br w:type="page"/>
      </w:r>
    </w:p>
    <w:p w:rsidR="00A850AC" w:rsidRPr="00205953" w:rsidRDefault="00205953">
      <w:pPr>
        <w:pStyle w:val="Heading1"/>
        <w:spacing w:line="360" w:lineRule="auto"/>
        <w:rPr>
          <w:color w:val="auto"/>
          <w:sz w:val="24"/>
          <w:szCs w:val="24"/>
        </w:rPr>
      </w:pPr>
      <w:r w:rsidRPr="00205953">
        <w:rPr>
          <w:rFonts w:ascii="Times New Roman" w:eastAsia="Times New Roman" w:hAnsi="Times New Roman"/>
          <w:color w:val="auto"/>
          <w:sz w:val="24"/>
          <w:szCs w:val="24"/>
        </w:rPr>
        <w:lastRenderedPageBreak/>
        <w:t>Supplementary Figures</w:t>
      </w:r>
    </w:p>
    <w:p w:rsidR="00A850AC" w:rsidRPr="00205953" w:rsidRDefault="00205953">
      <w:pPr>
        <w:spacing w:line="360" w:lineRule="auto"/>
        <w:rPr>
          <w:rFonts w:cs="Times New Roman"/>
          <w:b/>
          <w:bCs/>
          <w:sz w:val="24"/>
          <w:szCs w:val="24"/>
        </w:rPr>
      </w:pPr>
      <w:r w:rsidRPr="00205953">
        <w:rPr>
          <w:b/>
          <w:sz w:val="24"/>
          <w:szCs w:val="24"/>
        </w:rPr>
        <w:t>Supplementary Figure S</w:t>
      </w:r>
      <w:r w:rsidRPr="00205953">
        <w:rPr>
          <w:rFonts w:eastAsia="SimSun" w:hint="eastAsia"/>
          <w:b/>
          <w:sz w:val="24"/>
          <w:szCs w:val="24"/>
          <w:lang w:eastAsia="zh-CN"/>
        </w:rPr>
        <w:t>1</w:t>
      </w:r>
      <w:r w:rsidRPr="00205953">
        <w:rPr>
          <w:b/>
          <w:sz w:val="24"/>
          <w:szCs w:val="24"/>
        </w:rPr>
        <w:t>.</w:t>
      </w:r>
      <w:r w:rsidRPr="00205953">
        <w:rPr>
          <w:sz w:val="24"/>
          <w:szCs w:val="24"/>
        </w:rPr>
        <w:t xml:space="preserve"> </w:t>
      </w:r>
      <w:r w:rsidRPr="00205953">
        <w:rPr>
          <w:rFonts w:cs="Times New Roman"/>
          <w:b/>
          <w:bCs/>
          <w:sz w:val="24"/>
          <w:szCs w:val="24"/>
        </w:rPr>
        <w:t xml:space="preserve"> Anatomical definition of areas of interest (AOIs) and ultrasound measurement points.</w:t>
      </w:r>
    </w:p>
    <w:p w:rsidR="00A850AC" w:rsidRPr="00205953" w:rsidRDefault="00205953">
      <w:pPr>
        <w:numPr>
          <w:ilvl w:val="0"/>
          <w:numId w:val="7"/>
        </w:numPr>
        <w:spacing w:line="360" w:lineRule="auto"/>
        <w:rPr>
          <w:rFonts w:cs="Times New Roman"/>
          <w:b/>
          <w:sz w:val="24"/>
          <w:szCs w:val="24"/>
        </w:rPr>
      </w:pPr>
      <w:r w:rsidRPr="00205953">
        <w:rPr>
          <w:rFonts w:cs="Times New Roman"/>
          <w:b/>
          <w:sz w:val="24"/>
          <w:szCs w:val="24"/>
        </w:rPr>
        <w:t xml:space="preserve">Submental Area of Interest (AOI). </w:t>
      </w:r>
    </w:p>
    <w:p w:rsidR="00A850AC" w:rsidRPr="00205953" w:rsidRDefault="00205953">
      <w:pPr>
        <w:spacing w:line="360" w:lineRule="auto"/>
        <w:rPr>
          <w:rFonts w:cs="Times New Roman"/>
          <w:bCs/>
          <w:sz w:val="24"/>
          <w:szCs w:val="24"/>
        </w:rPr>
      </w:pPr>
      <w:r w:rsidRPr="00205953">
        <w:rPr>
          <w:rFonts w:cs="Times New Roman"/>
          <w:bCs/>
          <w:sz w:val="24"/>
          <w:szCs w:val="24"/>
        </w:rPr>
        <w:t xml:space="preserve">The submental AOI was </w:t>
      </w:r>
      <w:r w:rsidRPr="00205953">
        <w:rPr>
          <w:rFonts w:cs="Times New Roman"/>
          <w:bCs/>
          <w:sz w:val="24"/>
          <w:szCs w:val="24"/>
        </w:rPr>
        <w:t>delineated using the mandibular angle (MA) and the submental point (SM). An additional landmark, the mentocervical point (MC), was placed at the natural crease where the chin meets the neck, and a secondary reference point (P) was positioned 10 mm inferior</w:t>
      </w:r>
      <w:r w:rsidRPr="00205953">
        <w:rPr>
          <w:rFonts w:cs="Times New Roman"/>
          <w:bCs/>
          <w:sz w:val="24"/>
          <w:szCs w:val="24"/>
        </w:rPr>
        <w:t xml:space="preserve"> to the MA.</w:t>
      </w:r>
    </w:p>
    <w:p w:rsidR="00A850AC" w:rsidRPr="00205953" w:rsidRDefault="00205953">
      <w:pPr>
        <w:numPr>
          <w:ilvl w:val="0"/>
          <w:numId w:val="7"/>
        </w:numPr>
        <w:spacing w:line="360" w:lineRule="auto"/>
        <w:rPr>
          <w:rFonts w:cs="Times New Roman"/>
          <w:b/>
          <w:sz w:val="24"/>
          <w:szCs w:val="24"/>
        </w:rPr>
      </w:pPr>
      <w:r w:rsidRPr="00205953">
        <w:rPr>
          <w:rFonts w:cs="Times New Roman"/>
          <w:b/>
          <w:sz w:val="24"/>
          <w:szCs w:val="24"/>
        </w:rPr>
        <w:t xml:space="preserve">Mandibular Area of Interest (AOI). </w:t>
      </w:r>
    </w:p>
    <w:p w:rsidR="00A850AC" w:rsidRPr="00205953" w:rsidRDefault="00205953">
      <w:pPr>
        <w:spacing w:line="360" w:lineRule="auto"/>
        <w:rPr>
          <w:rFonts w:eastAsia="SimSun" w:cs="Times New Roman"/>
          <w:bCs/>
          <w:sz w:val="24"/>
          <w:szCs w:val="24"/>
          <w:lang w:eastAsia="zh-CN"/>
        </w:rPr>
      </w:pPr>
      <w:r w:rsidRPr="00205953">
        <w:rPr>
          <w:rFonts w:cs="Times New Roman"/>
          <w:bCs/>
          <w:sz w:val="24"/>
          <w:szCs w:val="24"/>
        </w:rPr>
        <w:t>The mandibular AOI was defined using the intertragal incisura (I), oral commissure (OC), premaxillary point (PM), earlobe apex (E), and MA. The PM–MA connecting line followed each participant’s native submand</w:t>
      </w:r>
      <w:r w:rsidRPr="00205953">
        <w:rPr>
          <w:rFonts w:cs="Times New Roman"/>
          <w:bCs/>
          <w:sz w:val="24"/>
          <w:szCs w:val="24"/>
        </w:rPr>
        <w:t xml:space="preserve">ibular contour to ensure anatomical consistency. </w:t>
      </w:r>
      <w:r w:rsidRPr="00205953">
        <w:rPr>
          <w:rFonts w:cs="Times New Roman"/>
          <w:bCs/>
          <w:sz w:val="24"/>
          <w:szCs w:val="24"/>
        </w:rPr>
        <w:t>The mandibular AOI was delineated independently within each hemiface and did not cross the facial midline.</w:t>
      </w:r>
    </w:p>
    <w:p w:rsidR="00A850AC" w:rsidRPr="00205953" w:rsidRDefault="00205953">
      <w:pPr>
        <w:spacing w:line="360" w:lineRule="auto"/>
        <w:rPr>
          <w:rFonts w:cs="Times New Roman"/>
          <w:b/>
          <w:sz w:val="24"/>
          <w:szCs w:val="24"/>
        </w:rPr>
      </w:pPr>
      <w:r w:rsidRPr="00205953">
        <w:rPr>
          <w:rFonts w:cs="Times New Roman"/>
          <w:b/>
          <w:sz w:val="24"/>
          <w:szCs w:val="24"/>
        </w:rPr>
        <w:t xml:space="preserve">(C–D) Ultrasound Measurement Points. </w:t>
      </w:r>
    </w:p>
    <w:p w:rsidR="00A850AC" w:rsidRPr="00205953" w:rsidRDefault="00205953">
      <w:pPr>
        <w:spacing w:line="360" w:lineRule="auto"/>
        <w:rPr>
          <w:rFonts w:cs="Times New Roman"/>
          <w:sz w:val="24"/>
          <w:szCs w:val="24"/>
        </w:rPr>
      </w:pPr>
      <w:r w:rsidRPr="00205953">
        <w:rPr>
          <w:rFonts w:cs="Times New Roman"/>
          <w:bCs/>
          <w:sz w:val="24"/>
          <w:szCs w:val="24"/>
        </w:rPr>
        <w:t>Point A (located 1 cm superior to the eyebrow and aligned with</w:t>
      </w:r>
      <w:r w:rsidRPr="00205953">
        <w:rPr>
          <w:rFonts w:cs="Times New Roman"/>
          <w:bCs/>
          <w:sz w:val="24"/>
          <w:szCs w:val="24"/>
        </w:rPr>
        <w:t xml:space="preserve"> the pupil center) was used to quantify frontal soft-tissue thickness. Point B (defined as the intersection of the vertical line bisecting the temporal region and the horizontal line through the oral commissure) was used to assess lower facial soft-tissue </w:t>
      </w:r>
      <w:r w:rsidRPr="00205953">
        <w:rPr>
          <w:rFonts w:cs="Times New Roman"/>
          <w:bCs/>
          <w:sz w:val="24"/>
          <w:szCs w:val="24"/>
        </w:rPr>
        <w:t xml:space="preserve">thickness. </w:t>
      </w:r>
      <w:r w:rsidRPr="00205953">
        <w:rPr>
          <w:rFonts w:cs="Times New Roman"/>
          <w:bCs/>
          <w:sz w:val="24"/>
          <w:szCs w:val="24"/>
        </w:rPr>
        <w:t>Point B was positioned laterally within the lower-face region and was anatomically separated from the contralateral hemiface.</w:t>
      </w:r>
    </w:p>
    <w:p w:rsidR="00A850AC" w:rsidRPr="00205953" w:rsidRDefault="00A850AC">
      <w:pPr>
        <w:spacing w:before="120" w:line="360" w:lineRule="auto"/>
        <w:rPr>
          <w:sz w:val="24"/>
          <w:szCs w:val="24"/>
        </w:rPr>
      </w:pPr>
    </w:p>
    <w:p w:rsidR="00A850AC" w:rsidRPr="00205953" w:rsidRDefault="00205953">
      <w:pPr>
        <w:spacing w:line="360" w:lineRule="auto"/>
        <w:jc w:val="center"/>
        <w:rPr>
          <w:sz w:val="24"/>
          <w:szCs w:val="24"/>
        </w:rPr>
        <w:sectPr w:rsidR="00A850AC" w:rsidRPr="00205953">
          <w:pgSz w:w="12240" w:h="15840"/>
          <w:pgMar w:top="1152" w:right="1152" w:bottom="1152" w:left="1152" w:header="720" w:footer="720" w:gutter="0"/>
          <w:cols w:space="720"/>
          <w:docGrid w:linePitch="360"/>
        </w:sectPr>
      </w:pPr>
      <w:r w:rsidRPr="00205953">
        <w:rPr>
          <w:noProof/>
          <w:sz w:val="24"/>
          <w:szCs w:val="24"/>
          <w:lang w:val="en-IN" w:eastAsia="en-IN"/>
        </w:rPr>
        <w:lastRenderedPageBreak/>
        <w:drawing>
          <wp:inline distT="0" distB="0" distL="114300" distR="114300">
            <wp:extent cx="5852160" cy="6584950"/>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852160" cy="6585288"/>
                    </a:xfrm>
                    <a:prstGeom prst="rect">
                      <a:avLst/>
                    </a:prstGeom>
                  </pic:spPr>
                </pic:pic>
              </a:graphicData>
            </a:graphic>
          </wp:inline>
        </w:drawing>
      </w:r>
    </w:p>
    <w:p w:rsidR="00A850AC" w:rsidRPr="00205953" w:rsidRDefault="00205953">
      <w:pPr>
        <w:widowControl w:val="0"/>
        <w:spacing w:after="0" w:line="480" w:lineRule="auto"/>
        <w:jc w:val="both"/>
        <w:rPr>
          <w:rFonts w:eastAsia="SimSun" w:cs="Times New Roman"/>
          <w:b/>
          <w:bCs/>
          <w:kern w:val="2"/>
          <w:sz w:val="24"/>
          <w:szCs w:val="24"/>
          <w:lang w:eastAsia="zh-CN"/>
        </w:rPr>
      </w:pPr>
      <w:r w:rsidRPr="00205953">
        <w:rPr>
          <w:rFonts w:eastAsia="SimSun" w:cs="Times New Roman"/>
          <w:b/>
          <w:bCs/>
          <w:kern w:val="2"/>
          <w:sz w:val="24"/>
          <w:szCs w:val="24"/>
          <w:lang w:eastAsia="zh-CN"/>
        </w:rPr>
        <w:lastRenderedPageBreak/>
        <w:t>Supplementary Figure</w:t>
      </w:r>
      <w:r w:rsidRPr="00205953">
        <w:rPr>
          <w:rFonts w:eastAsia="SimSun" w:cs="Times New Roman"/>
          <w:b/>
          <w:bCs/>
          <w:kern w:val="2"/>
          <w:sz w:val="24"/>
          <w:szCs w:val="24"/>
          <w:lang w:eastAsia="zh-CN"/>
        </w:rPr>
        <w:t xml:space="preserve"> </w:t>
      </w:r>
      <w:r w:rsidRPr="00205953">
        <w:rPr>
          <w:rFonts w:eastAsia="SimSun" w:cs="Times New Roman" w:hint="eastAsia"/>
          <w:b/>
          <w:bCs/>
          <w:kern w:val="2"/>
          <w:sz w:val="24"/>
          <w:szCs w:val="24"/>
          <w:lang w:eastAsia="zh-CN"/>
        </w:rPr>
        <w:t>S</w:t>
      </w:r>
      <w:r w:rsidRPr="00205953">
        <w:rPr>
          <w:rFonts w:eastAsia="SimSun" w:cs="Times New Roman"/>
          <w:b/>
          <w:bCs/>
          <w:kern w:val="2"/>
          <w:sz w:val="24"/>
          <w:szCs w:val="24"/>
          <w:lang w:eastAsia="zh-CN"/>
        </w:rPr>
        <w:t>2</w:t>
      </w:r>
      <w:r w:rsidRPr="00205953">
        <w:rPr>
          <w:rFonts w:eastAsia="SimSun" w:cs="Times New Roman"/>
          <w:b/>
          <w:bCs/>
          <w:kern w:val="2"/>
          <w:sz w:val="24"/>
          <w:szCs w:val="24"/>
          <w:lang w:eastAsia="zh-CN"/>
        </w:rPr>
        <w:t xml:space="preserve">. Thermal Coagulation Profiles and Histological Validation of Ultrasound </w:t>
      </w:r>
      <w:r w:rsidRPr="00205953">
        <w:rPr>
          <w:rFonts w:eastAsia="SimSun" w:cs="Times New Roman"/>
          <w:b/>
          <w:bCs/>
          <w:kern w:val="2"/>
          <w:sz w:val="24"/>
          <w:szCs w:val="24"/>
          <w:lang w:eastAsia="zh-CN"/>
        </w:rPr>
        <w:t>Transducers.</w:t>
      </w:r>
    </w:p>
    <w:p w:rsidR="00A850AC" w:rsidRPr="00205953" w:rsidRDefault="00205953">
      <w:pPr>
        <w:widowControl w:val="0"/>
        <w:spacing w:after="0" w:line="480" w:lineRule="auto"/>
        <w:jc w:val="both"/>
        <w:rPr>
          <w:rFonts w:eastAsia="SimSun" w:cs="Times New Roman"/>
          <w:kern w:val="2"/>
          <w:sz w:val="24"/>
          <w:szCs w:val="24"/>
          <w:lang w:eastAsia="zh-CN"/>
        </w:rPr>
      </w:pPr>
      <w:r w:rsidRPr="00205953">
        <w:rPr>
          <w:rFonts w:eastAsia="SimSun" w:cs="Times New Roman"/>
          <w:b/>
          <w:bCs/>
          <w:kern w:val="2"/>
          <w:sz w:val="24"/>
          <w:szCs w:val="24"/>
          <w:lang w:eastAsia="zh-CN"/>
        </w:rPr>
        <w:t>A</w:t>
      </w:r>
      <w:r w:rsidRPr="00205953">
        <w:rPr>
          <w:rFonts w:eastAsia="SimSun" w:cs="Times New Roman"/>
          <w:b/>
          <w:bCs/>
          <w:kern w:val="2"/>
          <w:sz w:val="24"/>
          <w:szCs w:val="24"/>
          <w:lang w:eastAsia="zh-CN"/>
        </w:rPr>
        <w:t>-</w:t>
      </w:r>
      <w:r w:rsidRPr="00205953">
        <w:rPr>
          <w:rFonts w:eastAsia="SimSun" w:cs="Times New Roman"/>
          <w:b/>
          <w:bCs/>
          <w:kern w:val="2"/>
          <w:sz w:val="24"/>
          <w:szCs w:val="24"/>
          <w:lang w:eastAsia="zh-CN"/>
        </w:rPr>
        <w:t>F</w:t>
      </w:r>
      <w:r w:rsidRPr="00205953">
        <w:rPr>
          <w:rFonts w:eastAsia="SimSun" w:cs="Times New Roman"/>
          <w:b/>
          <w:bCs/>
          <w:kern w:val="2"/>
          <w:sz w:val="24"/>
          <w:szCs w:val="24"/>
          <w:lang w:eastAsia="zh-CN"/>
        </w:rPr>
        <w:t xml:space="preserve">. </w:t>
      </w:r>
      <w:r w:rsidRPr="00205953">
        <w:rPr>
          <w:rFonts w:eastAsia="SimSun" w:cs="Times New Roman"/>
          <w:kern w:val="2"/>
          <w:sz w:val="24"/>
          <w:szCs w:val="24"/>
          <w:lang w:eastAsia="zh-CN"/>
        </w:rPr>
        <w:t>Thermal coagulation points (TCPs) generated by the focused ultrasound transducers demonstrated a characteristic wedge-shaped morphology. Quantitative depth profiling showed that the M4.5 and D4.5 transducers produced coagulation zones ran</w:t>
      </w:r>
      <w:r w:rsidRPr="00205953">
        <w:rPr>
          <w:rFonts w:eastAsia="SimSun" w:cs="Times New Roman"/>
          <w:kern w:val="2"/>
          <w:sz w:val="24"/>
          <w:szCs w:val="24"/>
          <w:lang w:eastAsia="zh-CN"/>
        </w:rPr>
        <w:t>ging from 2.0 to 5.5 mm in total depth (with maximal focal intensities located between 2.0 and 4.0 mm). The M3.0 and D3.0 transducers achieved penetration depths of 1.5–5.0 mm and 1.0–5.0 mm, respectively (maximal focal zones: 1.5–3.0 mm and 1.0–3.0 mm). T</w:t>
      </w:r>
      <w:r w:rsidRPr="00205953">
        <w:rPr>
          <w:rFonts w:eastAsia="SimSun" w:cs="Times New Roman"/>
          <w:kern w:val="2"/>
          <w:sz w:val="24"/>
          <w:szCs w:val="24"/>
          <w:lang w:eastAsia="zh-CN"/>
        </w:rPr>
        <w:t>he M2.0 and D2.0 transducers generated the most superficial effects, with total depths of 1.0–3.0 mm and focal maxima between 1.0 and 2.0 mm.</w:t>
      </w:r>
    </w:p>
    <w:p w:rsidR="00A850AC" w:rsidRPr="00205953" w:rsidRDefault="00205953">
      <w:pPr>
        <w:widowControl w:val="0"/>
        <w:spacing w:after="0" w:line="480" w:lineRule="auto"/>
        <w:jc w:val="both"/>
        <w:rPr>
          <w:rFonts w:eastAsia="SimSun" w:cs="Times New Roman"/>
          <w:kern w:val="2"/>
          <w:sz w:val="24"/>
          <w:szCs w:val="24"/>
          <w:lang w:eastAsia="zh-CN"/>
        </w:rPr>
      </w:pPr>
      <w:r w:rsidRPr="00205953">
        <w:rPr>
          <w:rFonts w:eastAsia="SimSun" w:cs="Times New Roman"/>
          <w:b/>
          <w:bCs/>
          <w:kern w:val="2"/>
          <w:sz w:val="24"/>
          <w:szCs w:val="24"/>
          <w:lang w:eastAsia="zh-CN"/>
        </w:rPr>
        <w:t>G-H</w:t>
      </w:r>
      <w:r w:rsidRPr="00205953">
        <w:rPr>
          <w:rFonts w:eastAsia="SimSun" w:cs="Times New Roman"/>
          <w:b/>
          <w:bCs/>
          <w:kern w:val="2"/>
          <w:sz w:val="24"/>
          <w:szCs w:val="24"/>
          <w:lang w:eastAsia="zh-CN"/>
        </w:rPr>
        <w:t>.</w:t>
      </w:r>
      <w:r w:rsidRPr="00205953">
        <w:rPr>
          <w:rFonts w:eastAsia="SimSun" w:cs="Times New Roman"/>
          <w:kern w:val="2"/>
          <w:sz w:val="24"/>
          <w:szCs w:val="24"/>
          <w:lang w:eastAsia="zh-CN"/>
        </w:rPr>
        <w:t xml:space="preserve"> Histological analysis demonstrated well-defined thermal coagulation within the dermis when the TCP intersecte</w:t>
      </w:r>
      <w:r w:rsidRPr="00205953">
        <w:rPr>
          <w:rFonts w:eastAsia="SimSun" w:cs="Times New Roman"/>
          <w:kern w:val="2"/>
          <w:sz w:val="24"/>
          <w:szCs w:val="24"/>
          <w:lang w:eastAsia="zh-CN"/>
        </w:rPr>
        <w:t xml:space="preserve">d this layer. Microscopic evaluation confirmed that the M2.0 handpiece created selective dermal coagulation columns measuring approximately 1,480 μm in depth and 782 μm in </w:t>
      </w:r>
      <w:r w:rsidRPr="00205953">
        <w:rPr>
          <w:rFonts w:eastAsia="SimSun" w:cs="Times New Roman"/>
          <w:kern w:val="2"/>
          <w:sz w:val="24"/>
          <w:szCs w:val="24"/>
          <w:lang w:eastAsia="zh-CN"/>
        </w:rPr>
        <w:t>leng</w:t>
      </w:r>
      <w:r w:rsidRPr="00205953">
        <w:rPr>
          <w:rFonts w:eastAsia="SimSun" w:cs="Times New Roman"/>
          <w:kern w:val="2"/>
          <w:sz w:val="24"/>
          <w:szCs w:val="24"/>
          <w:lang w:eastAsia="zh-CN"/>
        </w:rPr>
        <w:t xml:space="preserve">th, while the epidermis remained entirely preserved. </w:t>
      </w:r>
    </w:p>
    <w:p w:rsidR="00A850AC" w:rsidRPr="00205953" w:rsidRDefault="00205953">
      <w:pPr>
        <w:widowControl w:val="0"/>
        <w:spacing w:after="0" w:line="480" w:lineRule="auto"/>
        <w:jc w:val="both"/>
        <w:rPr>
          <w:rFonts w:eastAsia="SimSun" w:cs="Times New Roman"/>
          <w:kern w:val="2"/>
          <w:sz w:val="24"/>
          <w:szCs w:val="24"/>
          <w:lang w:eastAsia="zh-CN"/>
        </w:rPr>
      </w:pPr>
      <w:r w:rsidRPr="00205953">
        <w:rPr>
          <w:rFonts w:eastAsia="SimSun" w:cs="Times New Roman"/>
          <w:b/>
          <w:bCs/>
          <w:kern w:val="2"/>
          <w:sz w:val="24"/>
          <w:szCs w:val="24"/>
          <w:lang w:eastAsia="zh-CN"/>
        </w:rPr>
        <w:t>I</w:t>
      </w:r>
      <w:r w:rsidRPr="00205953">
        <w:rPr>
          <w:rFonts w:eastAsia="SimSun" w:cs="Times New Roman"/>
          <w:b/>
          <w:bCs/>
          <w:kern w:val="2"/>
          <w:sz w:val="24"/>
          <w:szCs w:val="24"/>
          <w:lang w:eastAsia="zh-CN"/>
        </w:rPr>
        <w:t xml:space="preserve">. </w:t>
      </w:r>
      <w:r w:rsidRPr="00205953">
        <w:rPr>
          <w:rFonts w:eastAsia="SimSun" w:cs="Times New Roman"/>
          <w:kern w:val="2"/>
          <w:sz w:val="24"/>
          <w:szCs w:val="24"/>
          <w:lang w:eastAsia="zh-CN"/>
        </w:rPr>
        <w:t>Thermally damaged fat c</w:t>
      </w:r>
      <w:r w:rsidRPr="00205953">
        <w:rPr>
          <w:rFonts w:eastAsia="SimSun" w:cs="Times New Roman"/>
          <w:kern w:val="2"/>
          <w:sz w:val="24"/>
          <w:szCs w:val="24"/>
          <w:lang w:eastAsia="zh-CN"/>
        </w:rPr>
        <w:t>ells were observed in the intradermal fat layer. The epidermis was unaffected.</w:t>
      </w:r>
    </w:p>
    <w:p w:rsidR="00A850AC" w:rsidRPr="00205953" w:rsidRDefault="00A850AC">
      <w:pPr>
        <w:spacing w:line="360" w:lineRule="auto"/>
        <w:rPr>
          <w:sz w:val="24"/>
          <w:szCs w:val="24"/>
        </w:rPr>
        <w:sectPr w:rsidR="00A850AC" w:rsidRPr="00205953">
          <w:pgSz w:w="12240" w:h="15840"/>
          <w:pgMar w:top="1152" w:right="1152" w:bottom="1152" w:left="1152" w:header="720" w:footer="720" w:gutter="0"/>
          <w:cols w:space="720"/>
          <w:docGrid w:linePitch="360"/>
        </w:sectPr>
      </w:pPr>
    </w:p>
    <w:p w:rsidR="00A850AC" w:rsidRPr="00205953" w:rsidRDefault="00205953">
      <w:pPr>
        <w:spacing w:line="360" w:lineRule="auto"/>
        <w:jc w:val="center"/>
        <w:rPr>
          <w:rFonts w:eastAsia="SimSun"/>
          <w:sz w:val="24"/>
          <w:szCs w:val="24"/>
          <w:lang w:eastAsia="zh-CN"/>
        </w:rPr>
      </w:pPr>
      <w:r w:rsidRPr="00205953">
        <w:rPr>
          <w:rFonts w:eastAsia="SimSun" w:hint="eastAsia"/>
          <w:noProof/>
          <w:sz w:val="24"/>
          <w:szCs w:val="24"/>
          <w:lang w:val="en-IN" w:eastAsia="en-IN"/>
        </w:rPr>
        <w:lastRenderedPageBreak/>
        <w:drawing>
          <wp:inline distT="0" distB="0" distL="114300" distR="114300">
            <wp:extent cx="4827905" cy="3627120"/>
            <wp:effectExtent l="0" t="0" r="1270" b="1905"/>
            <wp:docPr id="2" name="图片 2" descr="supplemental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l figure 1"/>
                    <pic:cNvPicPr>
                      <a:picLocks noChangeAspect="1"/>
                    </pic:cNvPicPr>
                  </pic:nvPicPr>
                  <pic:blipFill>
                    <a:blip r:embed="rId9"/>
                    <a:stretch>
                      <a:fillRect/>
                    </a:stretch>
                  </pic:blipFill>
                  <pic:spPr>
                    <a:xfrm>
                      <a:off x="0" y="0"/>
                      <a:ext cx="4827905" cy="3627120"/>
                    </a:xfrm>
                    <a:prstGeom prst="rect">
                      <a:avLst/>
                    </a:prstGeom>
                  </pic:spPr>
                </pic:pic>
              </a:graphicData>
            </a:graphic>
          </wp:inline>
        </w:drawing>
      </w:r>
    </w:p>
    <w:p w:rsidR="00A850AC" w:rsidRPr="00205953" w:rsidRDefault="00A850AC">
      <w:pPr>
        <w:spacing w:line="360" w:lineRule="auto"/>
        <w:rPr>
          <w:sz w:val="24"/>
          <w:szCs w:val="24"/>
        </w:rPr>
        <w:sectPr w:rsidR="00A850AC" w:rsidRPr="00205953">
          <w:pgSz w:w="12240" w:h="15840"/>
          <w:pgMar w:top="1152" w:right="1152" w:bottom="1152" w:left="1152" w:header="720" w:footer="720" w:gutter="0"/>
          <w:cols w:space="720"/>
          <w:docGrid w:linePitch="360"/>
        </w:sectPr>
      </w:pPr>
    </w:p>
    <w:p w:rsidR="00A850AC" w:rsidRPr="00205953" w:rsidRDefault="00205953">
      <w:pPr>
        <w:pStyle w:val="Heading1"/>
        <w:spacing w:line="360" w:lineRule="auto"/>
        <w:rPr>
          <w:color w:val="auto"/>
          <w:sz w:val="24"/>
          <w:szCs w:val="24"/>
        </w:rPr>
      </w:pPr>
      <w:r w:rsidRPr="00205953">
        <w:rPr>
          <w:rFonts w:ascii="Times New Roman" w:eastAsia="Times New Roman" w:hAnsi="Times New Roman"/>
          <w:color w:val="auto"/>
          <w:sz w:val="24"/>
          <w:szCs w:val="24"/>
        </w:rPr>
        <w:lastRenderedPageBreak/>
        <w:t>Supplementary Tables</w:t>
      </w:r>
    </w:p>
    <w:p w:rsidR="00A850AC" w:rsidRPr="00205953" w:rsidRDefault="00205953">
      <w:pPr>
        <w:snapToGrid w:val="0"/>
        <w:spacing w:after="0" w:line="360" w:lineRule="auto"/>
        <w:rPr>
          <w:rFonts w:eastAsia="SimSun" w:cs="Times New Roman"/>
          <w:b/>
          <w:sz w:val="24"/>
          <w:szCs w:val="24"/>
          <w:lang w:eastAsia="zh-CN" w:bidi="ar"/>
        </w:rPr>
      </w:pPr>
      <w:r w:rsidRPr="00205953">
        <w:rPr>
          <w:rFonts w:eastAsia="SimSun" w:cs="Times New Roman"/>
          <w:b/>
          <w:sz w:val="24"/>
          <w:szCs w:val="24"/>
          <w:lang w:eastAsia="zh-CN" w:bidi="ar"/>
        </w:rPr>
        <w:t xml:space="preserve">Supplementary Table </w:t>
      </w:r>
      <w:r w:rsidRPr="00205953">
        <w:rPr>
          <w:rFonts w:eastAsia="SimSun" w:cs="Times New Roman" w:hint="eastAsia"/>
          <w:b/>
          <w:sz w:val="24"/>
          <w:szCs w:val="24"/>
          <w:lang w:eastAsia="zh-CN" w:bidi="ar"/>
        </w:rPr>
        <w:t>S</w:t>
      </w:r>
      <w:r w:rsidRPr="00205953">
        <w:rPr>
          <w:rFonts w:eastAsia="SimSun" w:cs="Times New Roman"/>
          <w:b/>
          <w:sz w:val="24"/>
          <w:szCs w:val="24"/>
          <w:lang w:eastAsia="zh-CN" w:bidi="ar"/>
        </w:rPr>
        <w:t>1. Treatment parameters and target tissue layers of MFUS handpieces</w:t>
      </w:r>
    </w:p>
    <w:p w:rsidR="00A850AC" w:rsidRPr="00205953" w:rsidRDefault="00A850AC">
      <w:pPr>
        <w:snapToGrid w:val="0"/>
        <w:spacing w:after="0" w:line="360" w:lineRule="auto"/>
        <w:rPr>
          <w:rFonts w:eastAsia="SimSun" w:cs="Times New Roman"/>
          <w:bCs/>
          <w:sz w:val="24"/>
          <w:szCs w:val="24"/>
          <w:lang w:eastAsia="zh-CN" w:bidi="a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3"/>
        <w:gridCol w:w="1250"/>
        <w:gridCol w:w="1073"/>
        <w:gridCol w:w="910"/>
        <w:gridCol w:w="1617"/>
        <w:gridCol w:w="1738"/>
        <w:gridCol w:w="2279"/>
        <w:gridCol w:w="4664"/>
      </w:tblGrid>
      <w:tr w:rsidR="00205953" w:rsidRPr="00205953">
        <w:trPr>
          <w:tblHeader/>
          <w:tblCellSpacing w:w="15" w:type="dxa"/>
        </w:trPr>
        <w:tc>
          <w:tcPr>
            <w:tcW w:w="0" w:type="auto"/>
            <w:tcBorders>
              <w:top w:val="single" w:sz="12" w:space="0" w:color="000000"/>
              <w:bottom w:val="single" w:sz="4" w:space="0" w:color="000000"/>
              <w:tl2br w:val="nil"/>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Handpiece</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Nominal focal depth</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Frequency</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Output range</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Dose unit</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Treatment dose used in this study</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Treatment region</w:t>
            </w:r>
          </w:p>
        </w:tc>
        <w:tc>
          <w:tcPr>
            <w:tcW w:w="0" w:type="auto"/>
            <w:tcBorders>
              <w:top w:val="single" w:sz="12" w:space="0" w:color="000000"/>
              <w:bottom w:val="single" w:sz="4" w:space="0" w:color="000000"/>
            </w:tcBorders>
            <w:shd w:val="clear" w:color="auto" w:fill="E7E6E6"/>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Intended target tissue layer</w:t>
            </w:r>
          </w:p>
        </w:tc>
      </w:tr>
      <w:tr w:rsidR="00205953" w:rsidRPr="00205953">
        <w:trPr>
          <w:tblCellSpacing w:w="15" w:type="dxa"/>
        </w:trPr>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M4.5</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4.5 mm</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N/A</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5.2–8.4 W</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Lines</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150–200 lines</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Midface / lower face / submental region</w:t>
            </w:r>
          </w:p>
        </w:tc>
        <w:tc>
          <w:tcPr>
            <w:tcW w:w="0" w:type="auto"/>
            <w:tcBorders>
              <w:top w:val="single" w:sz="4"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Deep subcutaneous fibroseptal layer and SMAS-related plane</w:t>
            </w:r>
          </w:p>
        </w:tc>
      </w:tr>
      <w:tr w:rsidR="00205953" w:rsidRPr="00205953">
        <w:trPr>
          <w:tblCellSpacing w:w="15" w:type="dxa"/>
        </w:trPr>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D4.5</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4.5 mm</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35 Hz</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8.4–10 W</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Dots × Hz × treatment duration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11,550 dots; 5.5 min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Midface / lower face / submental region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Deep subcutaneous fibroseptal layer and SMAS-related plane; broader dispersed thermal exposure around the 4.5-mm depth</w:t>
            </w:r>
          </w:p>
        </w:tc>
      </w:tr>
      <w:tr w:rsidR="00205953" w:rsidRPr="00205953">
        <w:trPr>
          <w:tblCellSpacing w:w="15" w:type="dxa"/>
        </w:trPr>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M3.0</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3.0 mm</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N/A</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5.2–8.4 W</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Lines</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150–200 lines</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Midface / lower face / submental region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Deep dermis and subdermal connective tissue</w:t>
            </w:r>
          </w:p>
        </w:tc>
      </w:tr>
      <w:tr w:rsidR="00205953" w:rsidRPr="00205953">
        <w:trPr>
          <w:tblCellSpacing w:w="15" w:type="dxa"/>
        </w:trPr>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D3.0</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3.0 mm</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35 Hz</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8.4–10 W</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Dots × Hz × treatment duration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11,550 dots; 5.5 min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Midface / lower face / submental region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 xml:space="preserve">Deep dermis and </w:t>
            </w:r>
            <w:r w:rsidRPr="00205953">
              <w:rPr>
                <w:rFonts w:eastAsia="SimSun" w:cs="Times New Roman"/>
                <w:bCs/>
                <w:sz w:val="24"/>
                <w:szCs w:val="24"/>
                <w:lang w:eastAsia="zh-CN" w:bidi="ar"/>
              </w:rPr>
              <w:t>subdermal connective tissue; broader dispersed thermal exposure around the 3.0-mm depth</w:t>
            </w:r>
          </w:p>
        </w:tc>
      </w:tr>
      <w:tr w:rsidR="00205953" w:rsidRPr="00205953">
        <w:trPr>
          <w:tblCellSpacing w:w="15" w:type="dxa"/>
        </w:trPr>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M2.0</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2.0 mm</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N/A</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2–3 W</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Lines</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50–60 lines</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Frontotemporal region</w:t>
            </w:r>
          </w:p>
        </w:tc>
        <w:tc>
          <w:tcPr>
            <w:tcW w:w="0" w:type="auto"/>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Superficial-to-mid dermis and intradermal fat</w:t>
            </w:r>
          </w:p>
        </w:tc>
      </w:tr>
      <w:tr w:rsidR="00205953" w:rsidRPr="00205953">
        <w:trPr>
          <w:tblCellSpacing w:w="15" w:type="dxa"/>
        </w:trPr>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D2.0</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2.0 mm</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35 Hz</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3 W</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Dots × Hz × treatment duration</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14,700 dots; 7 min</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Entire hemiface</w:t>
            </w:r>
          </w:p>
        </w:tc>
        <w:tc>
          <w:tcPr>
            <w:tcW w:w="0" w:type="auto"/>
            <w:tcBorders>
              <w:bottom w:val="single" w:sz="12" w:space="0" w:color="000000"/>
            </w:tcBorders>
            <w:shd w:val="clear" w:color="auto" w:fill="FFFFFF"/>
            <w:vAlign w:val="center"/>
          </w:tcPr>
          <w:p w:rsidR="00A850AC" w:rsidRPr="00205953" w:rsidRDefault="00205953">
            <w:pPr>
              <w:snapToGrid w:val="0"/>
              <w:spacing w:after="0" w:line="360" w:lineRule="auto"/>
              <w:rPr>
                <w:rFonts w:eastAsia="SimSun" w:cs="Times New Roman"/>
                <w:bCs/>
                <w:sz w:val="24"/>
                <w:szCs w:val="24"/>
                <w:lang w:eastAsia="zh-CN" w:bidi="ar"/>
              </w:rPr>
            </w:pPr>
            <w:r w:rsidRPr="00205953">
              <w:rPr>
                <w:rFonts w:eastAsia="SimSun" w:cs="Times New Roman"/>
                <w:bCs/>
                <w:sz w:val="24"/>
                <w:szCs w:val="24"/>
                <w:lang w:eastAsia="zh-CN" w:bidi="ar"/>
              </w:rPr>
              <w:t>Superficial-to-mid dermis and intradermal fat; broader dispersed superficial thermal exposure</w:t>
            </w:r>
          </w:p>
        </w:tc>
      </w:tr>
    </w:tbl>
    <w:p w:rsidR="00A850AC" w:rsidRPr="00205953" w:rsidRDefault="00A850AC">
      <w:pPr>
        <w:snapToGrid w:val="0"/>
        <w:spacing w:after="0" w:line="360" w:lineRule="auto"/>
        <w:rPr>
          <w:rFonts w:eastAsia="SimSun" w:cs="Times New Roman"/>
          <w:b/>
          <w:bCs/>
          <w:sz w:val="24"/>
          <w:szCs w:val="24"/>
          <w:lang w:eastAsia="zh-CN" w:bidi="ar"/>
        </w:rPr>
      </w:pPr>
    </w:p>
    <w:p w:rsidR="00A850AC" w:rsidRPr="00205953" w:rsidRDefault="00205953">
      <w:pPr>
        <w:widowControl w:val="0"/>
        <w:spacing w:after="0" w:line="360" w:lineRule="auto"/>
        <w:rPr>
          <w:rFonts w:eastAsia="SimSun" w:cs="Times New Roman"/>
          <w:sz w:val="24"/>
          <w:szCs w:val="24"/>
          <w:lang w:eastAsia="zh-CN" w:bidi="ar"/>
        </w:rPr>
      </w:pPr>
      <w:r w:rsidRPr="00205953">
        <w:rPr>
          <w:rFonts w:eastAsia="游明朝" w:cs="Times New Roman"/>
          <w:b/>
          <w:bCs/>
          <w:kern w:val="2"/>
          <w:sz w:val="24"/>
          <w:szCs w:val="24"/>
          <w:lang w:eastAsia="zh-CN"/>
        </w:rPr>
        <w:t>Table note:</w:t>
      </w:r>
      <w:r w:rsidRPr="00205953">
        <w:rPr>
          <w:rFonts w:eastAsia="游明朝" w:cs="Times New Roman" w:hint="eastAsia"/>
          <w:b/>
          <w:bCs/>
          <w:kern w:val="2"/>
          <w:sz w:val="24"/>
          <w:szCs w:val="24"/>
          <w:lang w:eastAsia="zh-CN"/>
        </w:rPr>
        <w:t xml:space="preserve"> </w:t>
      </w:r>
      <w:r w:rsidRPr="00205953">
        <w:rPr>
          <w:rFonts w:eastAsia="SimSun" w:cs="Times New Roman"/>
          <w:sz w:val="24"/>
          <w:szCs w:val="24"/>
          <w:lang w:eastAsia="zh-CN" w:bidi="ar"/>
        </w:rPr>
        <w:t xml:space="preserve"> “M” denotes the microfocused mode, which delivers focused, discrete thermal coagulation points along treatment lines and is therefore dosed by the number of lines delivered. “D” denotes the dot-mode handpiece, which provides broader and more dispersed poi</w:t>
      </w:r>
      <w:r w:rsidRPr="00205953">
        <w:rPr>
          <w:rFonts w:eastAsia="SimSun" w:cs="Times New Roman"/>
          <w:sz w:val="24"/>
          <w:szCs w:val="24"/>
          <w:lang w:eastAsia="zh-CN" w:bidi="ar"/>
        </w:rPr>
        <w:t xml:space="preserve">nt-based thermal exposure at a preset emission frequency and is therefore dosed by dots, frequency, and treatment duration. The number following M or D indicates the nominal focal depth in millimeters. The listed target layers refer to intended anatomical </w:t>
      </w:r>
      <w:r w:rsidRPr="00205953">
        <w:rPr>
          <w:rFonts w:eastAsia="SimSun" w:cs="Times New Roman"/>
          <w:sz w:val="24"/>
          <w:szCs w:val="24"/>
          <w:lang w:eastAsia="zh-CN" w:bidi="ar"/>
        </w:rPr>
        <w:t xml:space="preserve">treatment planes based on nominal focal depth; actual thermal </w:t>
      </w:r>
      <w:r w:rsidRPr="00205953">
        <w:rPr>
          <w:rFonts w:eastAsia="SimSun" w:cs="Times New Roman"/>
          <w:sz w:val="24"/>
          <w:szCs w:val="24"/>
          <w:lang w:eastAsia="zh-CN" w:bidi="ar"/>
        </w:rPr>
        <w:lastRenderedPageBreak/>
        <w:t>distribution may vary because MFUS coagulation zones extend over a vertical depth range rather than a single fixed plane.</w:t>
      </w:r>
      <w:r w:rsidRPr="00205953">
        <w:rPr>
          <w:rFonts w:eastAsia="SimSun" w:cs="Times New Roman" w:hint="eastAsia"/>
          <w:sz w:val="24"/>
          <w:szCs w:val="24"/>
          <w:lang w:eastAsia="zh-CN" w:bidi="ar"/>
        </w:rPr>
        <w:t xml:space="preserve"> </w:t>
      </w:r>
      <w:r w:rsidRPr="00205953">
        <w:rPr>
          <w:rFonts w:eastAsia="游明朝" w:cs="Times New Roman" w:hint="eastAsia"/>
          <w:kern w:val="2"/>
          <w:sz w:val="24"/>
          <w:szCs w:val="24"/>
          <w:lang w:eastAsia="zh-CN"/>
        </w:rPr>
        <w:t xml:space="preserve"> </w:t>
      </w:r>
      <w:r w:rsidRPr="00205953">
        <w:rPr>
          <w:rFonts w:eastAsia="游明朝" w:cs="Times New Roman" w:hint="eastAsia"/>
          <w:b/>
          <w:bCs/>
          <w:kern w:val="2"/>
          <w:sz w:val="24"/>
          <w:szCs w:val="24"/>
          <w:lang w:eastAsia="zh-CN"/>
        </w:rPr>
        <w:t xml:space="preserve">Abbreviations: </w:t>
      </w:r>
      <w:r w:rsidRPr="00205953">
        <w:rPr>
          <w:rFonts w:eastAsia="SimSun" w:cs="Times New Roman"/>
          <w:sz w:val="24"/>
          <w:szCs w:val="24"/>
          <w:lang w:eastAsia="zh-CN" w:bidi="ar"/>
        </w:rPr>
        <w:t xml:space="preserve">MFUS, microfocused ultrasound; SMAS, superficial </w:t>
      </w:r>
      <w:r w:rsidRPr="00205953">
        <w:rPr>
          <w:rFonts w:eastAsia="SimSun" w:cs="Times New Roman"/>
          <w:sz w:val="24"/>
          <w:szCs w:val="24"/>
          <w:lang w:eastAsia="zh-CN" w:bidi="ar"/>
        </w:rPr>
        <w:t>musculoaponeurotic system; N/A, not applicable.</w:t>
      </w:r>
    </w:p>
    <w:p w:rsidR="00A850AC" w:rsidRPr="00205953" w:rsidRDefault="00A850AC">
      <w:pPr>
        <w:snapToGrid w:val="0"/>
        <w:spacing w:after="0" w:line="360" w:lineRule="auto"/>
        <w:rPr>
          <w:rFonts w:eastAsia="SimSun" w:cs="Times New Roman"/>
          <w:b/>
          <w:bCs/>
          <w:sz w:val="24"/>
          <w:szCs w:val="24"/>
          <w:lang w:eastAsia="zh-CN" w:bidi="ar"/>
        </w:rPr>
      </w:pPr>
    </w:p>
    <w:p w:rsidR="00A850AC" w:rsidRPr="00205953" w:rsidRDefault="00205953">
      <w:pPr>
        <w:widowControl w:val="0"/>
        <w:spacing w:after="0" w:line="360" w:lineRule="auto"/>
        <w:jc w:val="both"/>
        <w:rPr>
          <w:rFonts w:eastAsia="SimSun" w:cs="Times New Roman"/>
          <w:b/>
          <w:bCs/>
          <w:sz w:val="24"/>
          <w:szCs w:val="24"/>
          <w:lang w:eastAsia="zh-CN" w:bidi="ar"/>
        </w:rPr>
      </w:pPr>
      <w:r w:rsidRPr="00205953">
        <w:rPr>
          <w:rFonts w:eastAsia="SimSun" w:cs="Times New Roman"/>
          <w:b/>
          <w:bCs/>
          <w:sz w:val="24"/>
          <w:szCs w:val="24"/>
          <w:lang w:eastAsia="zh-CN" w:bidi="ar"/>
        </w:rPr>
        <w:br w:type="page"/>
      </w:r>
    </w:p>
    <w:p w:rsidR="00A850AC" w:rsidRPr="00205953" w:rsidRDefault="00205953">
      <w:pPr>
        <w:snapToGrid w:val="0"/>
        <w:spacing w:after="0" w:line="360" w:lineRule="auto"/>
        <w:rPr>
          <w:rFonts w:eastAsia="SimSun" w:cs="Times New Roman"/>
          <w:b/>
          <w:bCs/>
          <w:sz w:val="24"/>
          <w:szCs w:val="24"/>
          <w:lang w:eastAsia="zh-CN" w:bidi="ar"/>
        </w:rPr>
      </w:pPr>
      <w:r w:rsidRPr="00205953">
        <w:rPr>
          <w:rFonts w:eastAsia="SimSun" w:cs="Times New Roman"/>
          <w:b/>
          <w:bCs/>
          <w:sz w:val="24"/>
          <w:szCs w:val="24"/>
          <w:lang w:eastAsia="zh-CN" w:bidi="ar"/>
        </w:rPr>
        <w:lastRenderedPageBreak/>
        <w:t xml:space="preserve">Supplementary Table </w:t>
      </w:r>
      <w:r w:rsidRPr="00205953">
        <w:rPr>
          <w:rFonts w:eastAsia="SimSun" w:cs="Times New Roman" w:hint="eastAsia"/>
          <w:b/>
          <w:bCs/>
          <w:sz w:val="24"/>
          <w:szCs w:val="24"/>
          <w:lang w:eastAsia="zh-CN" w:bidi="ar"/>
        </w:rPr>
        <w:t>S</w:t>
      </w:r>
      <w:r w:rsidRPr="00205953">
        <w:rPr>
          <w:rFonts w:eastAsia="SimSun" w:cs="Times New Roman"/>
          <w:b/>
          <w:bCs/>
          <w:sz w:val="24"/>
          <w:szCs w:val="24"/>
          <w:lang w:eastAsia="zh-CN" w:bidi="ar"/>
        </w:rPr>
        <w:t>2. Comparison of neural adverse events reported after MFUS-based facial tightening treatments</w:t>
      </w:r>
    </w:p>
    <w:p w:rsidR="00A850AC" w:rsidRPr="00205953" w:rsidRDefault="00A850AC">
      <w:pPr>
        <w:snapToGrid w:val="0"/>
        <w:spacing w:after="0" w:line="360" w:lineRule="auto"/>
        <w:rPr>
          <w:rFonts w:eastAsia="SimSun" w:cs="Times New Roman"/>
          <w:b/>
          <w:bCs/>
          <w:sz w:val="24"/>
          <w:szCs w:val="24"/>
          <w:lang w:eastAsia="zh-CN" w:bidi="ar"/>
        </w:rPr>
      </w:pPr>
    </w:p>
    <w:tbl>
      <w:tblPr>
        <w:tblW w:w="4999" w:type="pct"/>
        <w:jc w:val="center"/>
        <w:tblCellSpacing w:w="15" w:type="dxa"/>
        <w:tblCellMar>
          <w:top w:w="15" w:type="dxa"/>
          <w:left w:w="15" w:type="dxa"/>
          <w:bottom w:w="15" w:type="dxa"/>
          <w:right w:w="15" w:type="dxa"/>
        </w:tblCellMar>
        <w:tblLook w:val="04A0" w:firstRow="1" w:lastRow="0" w:firstColumn="1" w:lastColumn="0" w:noHBand="0" w:noVBand="1"/>
      </w:tblPr>
      <w:tblGrid>
        <w:gridCol w:w="1155"/>
        <w:gridCol w:w="1576"/>
        <w:gridCol w:w="2010"/>
        <w:gridCol w:w="1603"/>
        <w:gridCol w:w="3125"/>
        <w:gridCol w:w="2403"/>
        <w:gridCol w:w="2727"/>
      </w:tblGrid>
      <w:tr w:rsidR="00205953" w:rsidRPr="00205953">
        <w:trPr>
          <w:tblHeader/>
          <w:tblCellSpacing w:w="15" w:type="dxa"/>
          <w:jc w:val="center"/>
        </w:trPr>
        <w:tc>
          <w:tcPr>
            <w:tcW w:w="392"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Data source</w:t>
            </w:r>
          </w:p>
        </w:tc>
        <w:tc>
          <w:tcPr>
            <w:tcW w:w="542"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Study / data type</w:t>
            </w:r>
          </w:p>
        </w:tc>
        <w:tc>
          <w:tcPr>
            <w:tcW w:w="690"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Device / treatment protocol</w:t>
            </w:r>
          </w:p>
        </w:tc>
        <w:tc>
          <w:tcPr>
            <w:tcW w:w="550"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 xml:space="preserve">Sample size / treatment </w:t>
            </w:r>
            <w:r w:rsidRPr="00205953">
              <w:rPr>
                <w:rFonts w:eastAsia="SimSun" w:cs="Times New Roman"/>
                <w:b/>
                <w:bCs/>
                <w:sz w:val="24"/>
                <w:szCs w:val="24"/>
                <w:lang w:eastAsia="zh-CN" w:bidi="ar"/>
              </w:rPr>
              <w:t>denominator</w:t>
            </w:r>
          </w:p>
        </w:tc>
        <w:tc>
          <w:tcPr>
            <w:tcW w:w="1071"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Reported sensory symptoms</w:t>
            </w:r>
          </w:p>
        </w:tc>
        <w:tc>
          <w:tcPr>
            <w:tcW w:w="739"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Reported motor impairment</w:t>
            </w:r>
          </w:p>
        </w:tc>
        <w:tc>
          <w:tcPr>
            <w:tcW w:w="930" w:type="pct"/>
            <w:tcBorders>
              <w:top w:val="single" w:sz="12" w:space="0" w:color="auto"/>
              <w:left w:val="nil"/>
              <w:bottom w:val="nil"/>
              <w:right w:val="nil"/>
            </w:tcBorders>
            <w:shd w:val="clear" w:color="auto" w:fill="E7E6E6"/>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b/>
                <w:bCs/>
                <w:kern w:val="2"/>
                <w:sz w:val="24"/>
                <w:szCs w:val="24"/>
                <w:lang w:eastAsia="zh-CN"/>
              </w:rPr>
            </w:pPr>
            <w:r w:rsidRPr="00205953">
              <w:rPr>
                <w:rFonts w:eastAsia="SimSun" w:cs="Times New Roman"/>
                <w:b/>
                <w:bCs/>
                <w:sz w:val="24"/>
                <w:szCs w:val="24"/>
                <w:lang w:eastAsia="zh-CN" w:bidi="ar"/>
              </w:rPr>
              <w:t>Resolution / comments</w:t>
            </w:r>
          </w:p>
        </w:tc>
      </w:tr>
      <w:tr w:rsidR="00205953" w:rsidRPr="00205953">
        <w:trPr>
          <w:tblCellSpacing w:w="15" w:type="dxa"/>
          <w:jc w:val="center"/>
        </w:trPr>
        <w:tc>
          <w:tcPr>
            <w:tcW w:w="392"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sz w:val="24"/>
                <w:szCs w:val="24"/>
                <w:lang w:eastAsia="zh-CN" w:bidi="ar"/>
              </w:rPr>
            </w:pPr>
            <w:r w:rsidRPr="00205953">
              <w:rPr>
                <w:rFonts w:eastAsia="SimSun" w:cs="Times New Roman"/>
                <w:b/>
                <w:sz w:val="24"/>
                <w:szCs w:val="24"/>
                <w:lang w:eastAsia="zh-CN" w:bidi="ar"/>
              </w:rPr>
              <w:t>Hitchcock and Dobke, 2014</w:t>
            </w:r>
          </w:p>
        </w:tc>
        <w:tc>
          <w:tcPr>
            <w:tcW w:w="542"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Manufacturer post-market surveillance and literature-based safety review</w:t>
            </w:r>
          </w:p>
        </w:tc>
        <w:tc>
          <w:tcPr>
            <w:tcW w:w="690"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Earlier-generation MFU-V / Ultherapy; conventional MFU-V protocols mai</w:t>
            </w:r>
            <w:r w:rsidRPr="00205953">
              <w:rPr>
                <w:rFonts w:eastAsia="SimSun" w:cs="Times New Roman"/>
                <w:sz w:val="24"/>
                <w:szCs w:val="24"/>
                <w:lang w:eastAsia="zh-CN" w:bidi="ar"/>
              </w:rPr>
              <w:t>nly using 4.5-mm and 3.0-mm treatment depths</w:t>
            </w:r>
          </w:p>
        </w:tc>
        <w:tc>
          <w:tcPr>
            <w:tcW w:w="550"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&gt;350,000 MFU-V treatments worldwide at the time of publication</w:t>
            </w:r>
          </w:p>
        </w:tc>
        <w:tc>
          <w:tcPr>
            <w:tcW w:w="1071"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 xml:space="preserve">Nerve-related effects, including transient paresthesia/numbness and sensory nerve paresis, were reported at approximately </w:t>
            </w:r>
            <w:r w:rsidRPr="00205953">
              <w:rPr>
                <w:rFonts w:eastAsia="SimSun" w:cs="Times New Roman"/>
                <w:b/>
                <w:sz w:val="24"/>
                <w:szCs w:val="24"/>
                <w:lang w:eastAsia="zh-CN" w:bidi="ar"/>
              </w:rPr>
              <w:t>0.07%</w:t>
            </w:r>
            <w:r w:rsidRPr="00205953">
              <w:rPr>
                <w:rFonts w:eastAsia="SimSun" w:cs="Times New Roman"/>
                <w:sz w:val="24"/>
                <w:szCs w:val="24"/>
                <w:lang w:eastAsia="zh-CN" w:bidi="ar"/>
              </w:rPr>
              <w:t xml:space="preserve"> in market experience. Temporary numbness was also described in the published literature, with rates up to </w:t>
            </w:r>
            <w:r w:rsidRPr="00205953">
              <w:rPr>
                <w:rFonts w:eastAsia="SimSun" w:cs="Times New Roman"/>
                <w:b/>
                <w:sz w:val="24"/>
                <w:szCs w:val="24"/>
                <w:lang w:eastAsia="zh-CN" w:bidi="ar"/>
              </w:rPr>
              <w:t>18%</w:t>
            </w:r>
            <w:r w:rsidRPr="00205953">
              <w:rPr>
                <w:rFonts w:eastAsia="SimSun" w:cs="Times New Roman"/>
                <w:sz w:val="24"/>
                <w:szCs w:val="24"/>
                <w:lang w:eastAsia="zh-CN" w:bidi="ar"/>
              </w:rPr>
              <w:t xml:space="preserve"> in selected reports.</w:t>
            </w:r>
          </w:p>
        </w:tc>
        <w:tc>
          <w:tcPr>
            <w:tcW w:w="739"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Transient motor nerve paresis was described as rare; facial motor or sensory nerve issues were reported to resolve without s</w:t>
            </w:r>
            <w:r w:rsidRPr="00205953">
              <w:rPr>
                <w:rFonts w:eastAsia="SimSun" w:cs="Times New Roman"/>
                <w:sz w:val="24"/>
                <w:szCs w:val="24"/>
                <w:lang w:eastAsia="zh-CN" w:bidi="ar"/>
              </w:rPr>
              <w:t>equelae.</w:t>
            </w:r>
          </w:p>
        </w:tc>
        <w:tc>
          <w:tcPr>
            <w:tcW w:w="930" w:type="pct"/>
            <w:tcBorders>
              <w:top w:val="single" w:sz="4" w:space="0" w:color="auto"/>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 xml:space="preserve">Most events were mild and transient. The review emphasized correct technique, avoidance of danger zones, and treatment-depth awareness. </w:t>
            </w:r>
          </w:p>
        </w:tc>
      </w:tr>
      <w:tr w:rsidR="00205953" w:rsidRPr="00205953">
        <w:trPr>
          <w:tblCellSpacing w:w="15" w:type="dxa"/>
          <w:jc w:val="center"/>
        </w:trPr>
        <w:tc>
          <w:tcPr>
            <w:tcW w:w="392"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kern w:val="2"/>
                <w:sz w:val="24"/>
                <w:szCs w:val="24"/>
                <w:lang w:eastAsia="zh-CN"/>
              </w:rPr>
            </w:pPr>
            <w:r w:rsidRPr="00205953">
              <w:rPr>
                <w:rFonts w:eastAsia="SimSun" w:cs="Times New Roman"/>
                <w:b/>
                <w:sz w:val="24"/>
                <w:szCs w:val="24"/>
                <w:lang w:eastAsia="zh-CN" w:bidi="ar"/>
              </w:rPr>
              <w:t>Zhu et al., 2024</w:t>
            </w:r>
          </w:p>
        </w:tc>
        <w:tc>
          <w:tcPr>
            <w:tcW w:w="542"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Prospective, randomized, controlled split-face study</w:t>
            </w:r>
          </w:p>
        </w:tc>
        <w:tc>
          <w:tcPr>
            <w:tcW w:w="690"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Novel MFUS using 4.5-mm and 3.0-mm tran</w:t>
            </w:r>
            <w:r w:rsidRPr="00205953">
              <w:rPr>
                <w:rFonts w:eastAsia="SimSun" w:cs="Times New Roman"/>
                <w:sz w:val="24"/>
                <w:szCs w:val="24"/>
                <w:lang w:eastAsia="zh-CN" w:bidi="ar"/>
              </w:rPr>
              <w:t>sducers; single-session unilateral facial tightening treatment</w:t>
            </w:r>
          </w:p>
        </w:tc>
        <w:tc>
          <w:tcPr>
            <w:tcW w:w="550"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20 participants</w:t>
            </w:r>
          </w:p>
        </w:tc>
        <w:tc>
          <w:tcPr>
            <w:tcW w:w="1071"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b/>
                <w:sz w:val="24"/>
                <w:szCs w:val="24"/>
                <w:lang w:eastAsia="zh-CN" w:bidi="ar"/>
              </w:rPr>
              <w:t>No participants reported paresthesia, numbness, or tingling</w:t>
            </w:r>
            <w:r w:rsidRPr="00205953">
              <w:rPr>
                <w:rFonts w:eastAsia="SimSun" w:cs="Times New Roman"/>
                <w:sz w:val="24"/>
                <w:szCs w:val="24"/>
                <w:lang w:eastAsia="zh-CN" w:bidi="ar"/>
              </w:rPr>
              <w:t xml:space="preserve"> after treatment. All participants had slight erythema and edema; allodynia was reported and usually lasted about 14 days.</w:t>
            </w:r>
          </w:p>
        </w:tc>
        <w:tc>
          <w:tcPr>
            <w:tcW w:w="739"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No motor impairment reported.</w:t>
            </w:r>
          </w:p>
        </w:tc>
        <w:tc>
          <w:tcPr>
            <w:tcW w:w="930" w:type="pct"/>
            <w:tcBorders>
              <w:top w:val="nil"/>
              <w:left w:val="nil"/>
              <w:bottom w:val="nil"/>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The prior study suggested a favorable safety profile under a protocol without the additional 2.0-mm tra</w:t>
            </w:r>
            <w:r w:rsidRPr="00205953">
              <w:rPr>
                <w:rFonts w:eastAsia="SimSun" w:cs="Times New Roman"/>
                <w:sz w:val="24"/>
                <w:szCs w:val="24"/>
                <w:lang w:eastAsia="zh-CN" w:bidi="ar"/>
              </w:rPr>
              <w:t xml:space="preserve">nsducer. </w:t>
            </w:r>
          </w:p>
        </w:tc>
      </w:tr>
      <w:tr w:rsidR="00205953" w:rsidRPr="00205953">
        <w:trPr>
          <w:tblCellSpacing w:w="15" w:type="dxa"/>
          <w:jc w:val="center"/>
        </w:trPr>
        <w:tc>
          <w:tcPr>
            <w:tcW w:w="392"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jc w:val="center"/>
              <w:rPr>
                <w:rFonts w:eastAsia="SimSun" w:cs="Times New Roman"/>
                <w:kern w:val="2"/>
                <w:sz w:val="24"/>
                <w:szCs w:val="24"/>
                <w:lang w:eastAsia="zh-CN"/>
              </w:rPr>
            </w:pPr>
            <w:r w:rsidRPr="00205953">
              <w:rPr>
                <w:rFonts w:eastAsia="SimSun" w:cs="Times New Roman"/>
                <w:b/>
                <w:sz w:val="24"/>
                <w:szCs w:val="24"/>
                <w:lang w:eastAsia="zh-CN" w:bidi="ar"/>
              </w:rPr>
              <w:t>Current study</w:t>
            </w:r>
          </w:p>
        </w:tc>
        <w:tc>
          <w:tcPr>
            <w:tcW w:w="542"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Prospective, evaluator-blinded, split-face randomized trial</w:t>
            </w:r>
          </w:p>
        </w:tc>
        <w:tc>
          <w:tcPr>
            <w:tcW w:w="690"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Updated multi-depth MFUS, including 4.5-mm, 3.0-mm, and additional 2.0-mm transducer, with or without MRF; higher lower-face output settings of 8.4–10 W in MFUS-containing</w:t>
            </w:r>
            <w:r w:rsidRPr="00205953">
              <w:rPr>
                <w:rFonts w:eastAsia="SimSun" w:cs="Times New Roman"/>
                <w:sz w:val="24"/>
                <w:szCs w:val="24"/>
                <w:lang w:eastAsia="zh-CN" w:bidi="ar"/>
              </w:rPr>
              <w:t xml:space="preserve"> groups</w:t>
            </w:r>
          </w:p>
        </w:tc>
        <w:tc>
          <w:tcPr>
            <w:tcW w:w="550"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30 participants: MFUS+MRF, n = 10; MFUS, n = 10; MRF, n = 10</w:t>
            </w:r>
          </w:p>
        </w:tc>
        <w:tc>
          <w:tcPr>
            <w:tcW w:w="1071"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 xml:space="preserve">Patient-reported transient numbness/paresthesia occurred in </w:t>
            </w:r>
            <w:r w:rsidRPr="00205953">
              <w:rPr>
                <w:rFonts w:eastAsia="SimSun" w:cs="Times New Roman"/>
                <w:b/>
                <w:sz w:val="24"/>
                <w:szCs w:val="24"/>
                <w:lang w:eastAsia="zh-CN" w:bidi="ar"/>
              </w:rPr>
              <w:t>60%</w:t>
            </w:r>
            <w:r w:rsidRPr="00205953">
              <w:rPr>
                <w:rFonts w:eastAsia="SimSun" w:cs="Times New Roman"/>
                <w:sz w:val="24"/>
                <w:szCs w:val="24"/>
                <w:lang w:eastAsia="zh-CN" w:bidi="ar"/>
              </w:rPr>
              <w:t xml:space="preserve"> of MFUS+MRF, </w:t>
            </w:r>
            <w:r w:rsidRPr="00205953">
              <w:rPr>
                <w:rFonts w:eastAsia="SimSun" w:cs="Times New Roman"/>
                <w:b/>
                <w:sz w:val="24"/>
                <w:szCs w:val="24"/>
                <w:lang w:eastAsia="zh-CN" w:bidi="ar"/>
              </w:rPr>
              <w:t>70%</w:t>
            </w:r>
            <w:r w:rsidRPr="00205953">
              <w:rPr>
                <w:rFonts w:eastAsia="SimSun" w:cs="Times New Roman"/>
                <w:sz w:val="24"/>
                <w:szCs w:val="24"/>
                <w:lang w:eastAsia="zh-CN" w:bidi="ar"/>
              </w:rPr>
              <w:t xml:space="preserve"> of MFUS, and </w:t>
            </w:r>
            <w:r w:rsidRPr="00205953">
              <w:rPr>
                <w:rFonts w:eastAsia="SimSun" w:cs="Times New Roman"/>
                <w:b/>
                <w:sz w:val="24"/>
                <w:szCs w:val="24"/>
                <w:lang w:eastAsia="zh-CN" w:bidi="ar"/>
              </w:rPr>
              <w:t>10%</w:t>
            </w:r>
            <w:r w:rsidRPr="00205953">
              <w:rPr>
                <w:rFonts w:eastAsia="SimSun" w:cs="Times New Roman"/>
                <w:sz w:val="24"/>
                <w:szCs w:val="24"/>
                <w:lang w:eastAsia="zh-CN" w:bidi="ar"/>
              </w:rPr>
              <w:t xml:space="preserve"> of MRF-treated participants.</w:t>
            </w:r>
          </w:p>
        </w:tc>
        <w:tc>
          <w:tcPr>
            <w:tcW w:w="739"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 xml:space="preserve">Two participants showed transient mild air leakage from the oral commissure during cheek puffing, interpreted as possible temporary buccal motor impairment/neurapraxia: one in MFUS+MRF and one in MFUS; overall rate </w:t>
            </w:r>
            <w:r w:rsidRPr="00205953">
              <w:rPr>
                <w:rFonts w:eastAsia="SimSun" w:cs="Times New Roman"/>
                <w:b/>
                <w:sz w:val="24"/>
                <w:szCs w:val="24"/>
                <w:lang w:eastAsia="zh-CN" w:bidi="ar"/>
              </w:rPr>
              <w:t>6.7%</w:t>
            </w:r>
            <w:r w:rsidRPr="00205953">
              <w:rPr>
                <w:rFonts w:eastAsia="SimSun" w:cs="Times New Roman"/>
                <w:sz w:val="24"/>
                <w:szCs w:val="24"/>
                <w:lang w:eastAsia="zh-CN" w:bidi="ar"/>
              </w:rPr>
              <w:t xml:space="preserve"> among all participants and </w:t>
            </w:r>
            <w:r w:rsidRPr="00205953">
              <w:rPr>
                <w:rFonts w:eastAsia="SimSun" w:cs="Times New Roman"/>
                <w:b/>
                <w:sz w:val="24"/>
                <w:szCs w:val="24"/>
                <w:lang w:eastAsia="zh-CN" w:bidi="ar"/>
              </w:rPr>
              <w:t>10%</w:t>
            </w:r>
            <w:r w:rsidRPr="00205953">
              <w:rPr>
                <w:rFonts w:eastAsia="SimSun" w:cs="Times New Roman"/>
                <w:sz w:val="24"/>
                <w:szCs w:val="24"/>
                <w:lang w:eastAsia="zh-CN" w:bidi="ar"/>
              </w:rPr>
              <w:t xml:space="preserve"> among</w:t>
            </w:r>
            <w:r w:rsidRPr="00205953">
              <w:rPr>
                <w:rFonts w:eastAsia="SimSun" w:cs="Times New Roman"/>
                <w:sz w:val="24"/>
                <w:szCs w:val="24"/>
                <w:lang w:eastAsia="zh-CN" w:bidi="ar"/>
              </w:rPr>
              <w:t xml:space="preserve"> MFUS-containing groups.</w:t>
            </w:r>
          </w:p>
        </w:tc>
        <w:tc>
          <w:tcPr>
            <w:tcW w:w="930" w:type="pct"/>
            <w:tcBorders>
              <w:top w:val="nil"/>
              <w:left w:val="nil"/>
              <w:bottom w:val="single" w:sz="12" w:space="0" w:color="auto"/>
              <w:right w:val="nil"/>
            </w:tcBorders>
            <w:shd w:val="clear" w:color="auto" w:fill="auto"/>
            <w:tcMar>
              <w:top w:w="-1" w:type="dxa"/>
              <w:left w:w="-1" w:type="dxa"/>
              <w:bottom w:w="-1" w:type="dxa"/>
              <w:right w:w="-1" w:type="dxa"/>
            </w:tcMar>
            <w:vAlign w:val="center"/>
          </w:tcPr>
          <w:p w:rsidR="00A850AC" w:rsidRPr="00205953" w:rsidRDefault="00205953">
            <w:pPr>
              <w:snapToGrid w:val="0"/>
              <w:spacing w:after="0" w:line="240" w:lineRule="auto"/>
              <w:rPr>
                <w:rFonts w:eastAsia="SimSun" w:cs="Times New Roman"/>
                <w:kern w:val="2"/>
                <w:sz w:val="24"/>
                <w:szCs w:val="24"/>
                <w:lang w:eastAsia="zh-CN"/>
              </w:rPr>
            </w:pPr>
            <w:r w:rsidRPr="00205953">
              <w:rPr>
                <w:rFonts w:eastAsia="SimSun" w:cs="Times New Roman"/>
                <w:sz w:val="24"/>
                <w:szCs w:val="24"/>
                <w:lang w:eastAsia="zh-CN" w:bidi="ar"/>
              </w:rPr>
              <w:t>All sensory and motor symptoms resolved spontaneously within 1–4 weeks. No permanent complications were observed. The higher rate may relate to expanded multi-depth energy delivery, the additional 2.0-mm handpiece, higher MFUS outp</w:t>
            </w:r>
            <w:r w:rsidRPr="00205953">
              <w:rPr>
                <w:rFonts w:eastAsia="SimSun" w:cs="Times New Roman"/>
                <w:sz w:val="24"/>
                <w:szCs w:val="24"/>
                <w:lang w:eastAsia="zh-CN" w:bidi="ar"/>
              </w:rPr>
              <w:t>ut, and cumulative thermal exposure near facial sensory and motor nerve branches.</w:t>
            </w:r>
          </w:p>
        </w:tc>
      </w:tr>
    </w:tbl>
    <w:p w:rsidR="00A850AC" w:rsidRPr="00205953" w:rsidRDefault="00A850AC">
      <w:pPr>
        <w:widowControl w:val="0"/>
        <w:spacing w:after="0" w:line="360" w:lineRule="auto"/>
        <w:jc w:val="both"/>
        <w:rPr>
          <w:rFonts w:eastAsia="游明朝" w:cs="Times New Roman"/>
          <w:b/>
          <w:bCs/>
          <w:kern w:val="2"/>
          <w:sz w:val="24"/>
          <w:szCs w:val="24"/>
          <w:lang w:eastAsia="zh-CN"/>
        </w:rPr>
      </w:pPr>
    </w:p>
    <w:p w:rsidR="00A850AC" w:rsidRPr="00205953" w:rsidRDefault="00205953">
      <w:pPr>
        <w:widowControl w:val="0"/>
        <w:spacing w:after="0" w:line="360" w:lineRule="auto"/>
        <w:jc w:val="both"/>
        <w:rPr>
          <w:rFonts w:eastAsia="游明朝" w:cs="Times New Roman"/>
          <w:kern w:val="2"/>
          <w:sz w:val="24"/>
          <w:szCs w:val="24"/>
          <w:lang w:eastAsia="zh-CN"/>
        </w:rPr>
      </w:pPr>
      <w:r w:rsidRPr="00205953">
        <w:rPr>
          <w:rFonts w:eastAsia="游明朝" w:cs="Times New Roman"/>
          <w:b/>
          <w:bCs/>
          <w:kern w:val="2"/>
          <w:sz w:val="24"/>
          <w:szCs w:val="24"/>
          <w:lang w:eastAsia="zh-CN"/>
        </w:rPr>
        <w:t>Table note:</w:t>
      </w:r>
      <w:r w:rsidRPr="00205953">
        <w:rPr>
          <w:rFonts w:eastAsia="游明朝" w:cs="Times New Roman" w:hint="eastAsia"/>
          <w:b/>
          <w:bCs/>
          <w:kern w:val="2"/>
          <w:sz w:val="24"/>
          <w:szCs w:val="24"/>
          <w:lang w:eastAsia="zh-CN"/>
        </w:rPr>
        <w:t xml:space="preserve"> </w:t>
      </w:r>
      <w:r w:rsidRPr="00205953">
        <w:rPr>
          <w:rFonts w:eastAsia="游明朝" w:cs="Times New Roman"/>
          <w:kern w:val="2"/>
          <w:sz w:val="24"/>
          <w:szCs w:val="24"/>
          <w:lang w:eastAsia="zh-CN"/>
        </w:rPr>
        <w:t xml:space="preserve">In the current study, numbness/paresthesia was recorded as a patient-reported sensory symptom rather than an objectively confirmed nerve injury. Therefore, </w:t>
      </w:r>
      <w:r w:rsidRPr="00205953">
        <w:rPr>
          <w:rFonts w:eastAsia="游明朝" w:cs="Times New Roman"/>
          <w:kern w:val="2"/>
          <w:sz w:val="24"/>
          <w:szCs w:val="24"/>
          <w:lang w:eastAsia="zh-CN"/>
        </w:rPr>
        <w:t>comparisons across studies should be interpreted cautiously because post-market surveillance, retrospective safety reviews, and prospective clinical trials differ in adverse-event collection methods and denominators.</w:t>
      </w:r>
      <w:r w:rsidRPr="00205953">
        <w:rPr>
          <w:rFonts w:eastAsia="游明朝" w:cs="Times New Roman" w:hint="eastAsia"/>
          <w:kern w:val="2"/>
          <w:sz w:val="24"/>
          <w:szCs w:val="24"/>
          <w:lang w:eastAsia="zh-CN"/>
        </w:rPr>
        <w:t xml:space="preserve"> </w:t>
      </w:r>
      <w:r w:rsidRPr="00205953">
        <w:rPr>
          <w:rFonts w:eastAsia="游明朝" w:cs="Times New Roman" w:hint="eastAsia"/>
          <w:b/>
          <w:bCs/>
          <w:kern w:val="2"/>
          <w:sz w:val="24"/>
          <w:szCs w:val="24"/>
          <w:lang w:eastAsia="zh-CN"/>
        </w:rPr>
        <w:t xml:space="preserve">Abbreviations: </w:t>
      </w:r>
      <w:r w:rsidRPr="00205953">
        <w:rPr>
          <w:rFonts w:eastAsia="游明朝" w:cs="Times New Roman" w:hint="eastAsia"/>
          <w:kern w:val="2"/>
          <w:sz w:val="24"/>
          <w:szCs w:val="24"/>
          <w:lang w:eastAsia="zh-CN"/>
        </w:rPr>
        <w:t>AE, adverse event</w:t>
      </w:r>
      <w:r w:rsidRPr="00205953">
        <w:rPr>
          <w:rFonts w:eastAsia="游明朝" w:cs="Times New Roman" w:hint="eastAsia"/>
          <w:kern w:val="2"/>
          <w:sz w:val="24"/>
          <w:szCs w:val="24"/>
          <w:lang w:eastAsia="zh-CN"/>
        </w:rPr>
        <w:t xml:space="preserve">; </w:t>
      </w:r>
      <w:r w:rsidRPr="00205953">
        <w:rPr>
          <w:rFonts w:eastAsia="游明朝" w:cs="Times New Roman"/>
          <w:kern w:val="2"/>
          <w:sz w:val="24"/>
          <w:szCs w:val="24"/>
          <w:lang w:eastAsia="zh-CN"/>
        </w:rPr>
        <w:t>MFUS,</w:t>
      </w:r>
      <w:r w:rsidRPr="00205953">
        <w:rPr>
          <w:rFonts w:eastAsia="游明朝" w:cs="Times New Roman"/>
          <w:kern w:val="2"/>
          <w:sz w:val="24"/>
          <w:szCs w:val="24"/>
          <w:lang w:eastAsia="zh-CN"/>
        </w:rPr>
        <w:t xml:space="preserve"> microfocused ultrasound; MFU-V, microfocused ultrasound with visualization; MRF, microneedle radiofrequency</w:t>
      </w:r>
      <w:r w:rsidRPr="00205953">
        <w:rPr>
          <w:rFonts w:eastAsia="游明朝" w:cs="Times New Roman" w:hint="eastAsia"/>
          <w:kern w:val="2"/>
          <w:sz w:val="24"/>
          <w:szCs w:val="24"/>
          <w:lang w:eastAsia="zh-CN"/>
        </w:rPr>
        <w:t>.</w:t>
      </w:r>
    </w:p>
    <w:p w:rsidR="00A850AC" w:rsidRPr="00205953" w:rsidRDefault="00205953">
      <w:pPr>
        <w:widowControl w:val="0"/>
        <w:spacing w:after="0" w:line="360" w:lineRule="auto"/>
        <w:jc w:val="both"/>
        <w:rPr>
          <w:rFonts w:eastAsia="游明朝" w:cs="Times New Roman"/>
          <w:kern w:val="2"/>
          <w:sz w:val="24"/>
          <w:szCs w:val="24"/>
          <w:lang w:eastAsia="zh-CN"/>
        </w:rPr>
      </w:pPr>
      <w:r w:rsidRPr="00205953">
        <w:rPr>
          <w:rFonts w:eastAsia="游明朝" w:cs="Times New Roman"/>
          <w:kern w:val="2"/>
          <w:sz w:val="24"/>
          <w:szCs w:val="24"/>
          <w:lang w:eastAsia="zh-CN"/>
        </w:rPr>
        <w:br w:type="page"/>
      </w:r>
    </w:p>
    <w:p w:rsidR="00A850AC" w:rsidRPr="00205953" w:rsidRDefault="00205953">
      <w:pPr>
        <w:widowControl w:val="0"/>
        <w:spacing w:after="0" w:line="360" w:lineRule="auto"/>
        <w:jc w:val="both"/>
        <w:rPr>
          <w:rFonts w:eastAsia="游明朝" w:cs="Times New Roman"/>
          <w:b/>
          <w:bCs/>
          <w:kern w:val="2"/>
          <w:sz w:val="24"/>
          <w:szCs w:val="24"/>
          <w:lang w:eastAsia="zh-CN"/>
        </w:rPr>
      </w:pPr>
      <w:r w:rsidRPr="00205953">
        <w:rPr>
          <w:rFonts w:eastAsia="游明朝" w:cs="Times New Roman"/>
          <w:b/>
          <w:bCs/>
          <w:kern w:val="2"/>
          <w:sz w:val="24"/>
          <w:szCs w:val="24"/>
          <w:lang w:eastAsia="zh-CN"/>
        </w:rPr>
        <w:lastRenderedPageBreak/>
        <w:t xml:space="preserve">Supplementary Table </w:t>
      </w:r>
      <w:r w:rsidRPr="00205953">
        <w:rPr>
          <w:rFonts w:eastAsia="游明朝" w:cs="Times New Roman" w:hint="eastAsia"/>
          <w:b/>
          <w:bCs/>
          <w:kern w:val="2"/>
          <w:sz w:val="24"/>
          <w:szCs w:val="24"/>
          <w:lang w:eastAsia="zh-CN"/>
        </w:rPr>
        <w:t>S</w:t>
      </w:r>
      <w:r w:rsidRPr="00205953">
        <w:rPr>
          <w:rFonts w:eastAsia="游明朝" w:cs="Times New Roman"/>
          <w:b/>
          <w:bCs/>
          <w:kern w:val="2"/>
          <w:sz w:val="24"/>
          <w:szCs w:val="24"/>
          <w:lang w:eastAsia="zh-CN"/>
        </w:rPr>
        <w:t xml:space="preserve">3. </w:t>
      </w:r>
      <w:r w:rsidRPr="00205953">
        <w:rPr>
          <w:rFonts w:eastAsia="游明朝" w:cs="Times New Roman"/>
          <w:b/>
          <w:bCs/>
          <w:kern w:val="2"/>
          <w:sz w:val="24"/>
          <w:szCs w:val="24"/>
          <w:lang w:eastAsia="zh-CN"/>
        </w:rPr>
        <w:t>Changes in the six prespecified VISIA-derived skin-quality parameters.</w:t>
      </w:r>
    </w:p>
    <w:p w:rsidR="00A850AC" w:rsidRPr="00205953" w:rsidRDefault="00A850AC">
      <w:pPr>
        <w:widowControl w:val="0"/>
        <w:spacing w:after="0" w:line="240" w:lineRule="auto"/>
        <w:jc w:val="both"/>
        <w:rPr>
          <w:rFonts w:eastAsia="游明朝" w:cs="Times New Roman"/>
          <w:b/>
          <w:bCs/>
          <w:kern w:val="2"/>
          <w:sz w:val="24"/>
          <w:szCs w:val="24"/>
          <w:lang w:eastAsia="zh-CN"/>
        </w:rPr>
      </w:pPr>
    </w:p>
    <w:p w:rsidR="00A850AC" w:rsidRPr="00205953" w:rsidRDefault="00205953">
      <w:pPr>
        <w:widowControl w:val="0"/>
        <w:spacing w:after="0" w:line="240" w:lineRule="auto"/>
        <w:jc w:val="both"/>
        <w:rPr>
          <w:rFonts w:eastAsia="游明朝" w:cs="Times New Roman"/>
          <w:b/>
          <w:bCs/>
          <w:kern w:val="2"/>
          <w:sz w:val="24"/>
          <w:szCs w:val="24"/>
          <w:lang w:eastAsia="zh-CN"/>
        </w:rPr>
      </w:pPr>
      <w:r w:rsidRPr="00205953">
        <w:rPr>
          <w:rFonts w:eastAsia="游明朝" w:cs="Times New Roman"/>
          <w:i/>
          <w:iCs/>
          <w:kern w:val="2"/>
          <w:sz w:val="24"/>
          <w:szCs w:val="24"/>
          <w:lang w:eastAsia="zh-CN"/>
        </w:rPr>
        <w:t xml:space="preserve">Tables are organized by treatment group. No </w:t>
      </w:r>
      <w:r w:rsidRPr="00205953">
        <w:rPr>
          <w:rFonts w:eastAsia="游明朝" w:cs="Times New Roman"/>
          <w:i/>
          <w:iCs/>
          <w:kern w:val="2"/>
          <w:sz w:val="24"/>
          <w:szCs w:val="24"/>
          <w:lang w:eastAsia="zh-CN"/>
        </w:rPr>
        <w:t>treatment–control difference remained statistically significant after FDR correction.</w:t>
      </w:r>
    </w:p>
    <w:p w:rsidR="00A850AC" w:rsidRPr="00205953" w:rsidRDefault="00A850AC">
      <w:pPr>
        <w:widowControl w:val="0"/>
        <w:spacing w:after="0" w:line="240" w:lineRule="auto"/>
        <w:jc w:val="both"/>
        <w:rPr>
          <w:rFonts w:eastAsia="游明朝" w:cs="Times New Roman"/>
          <w:b/>
          <w:bCs/>
          <w:kern w:val="2"/>
          <w:sz w:val="24"/>
          <w:szCs w:val="24"/>
          <w:lang w:eastAsia="zh-CN"/>
        </w:rPr>
      </w:pPr>
    </w:p>
    <w:p w:rsidR="00A850AC" w:rsidRPr="00205953" w:rsidRDefault="00205953">
      <w:pPr>
        <w:widowControl w:val="0"/>
        <w:spacing w:after="0" w:line="240" w:lineRule="auto"/>
        <w:jc w:val="both"/>
        <w:rPr>
          <w:rFonts w:eastAsia="游明朝" w:cs="Times New Roman"/>
          <w:b/>
          <w:bCs/>
          <w:kern w:val="2"/>
          <w:sz w:val="24"/>
          <w:szCs w:val="24"/>
          <w:lang w:eastAsia="zh-CN"/>
        </w:rPr>
      </w:pPr>
      <w:r w:rsidRPr="00205953">
        <w:rPr>
          <w:rFonts w:eastAsia="游明朝" w:cs="Times New Roman"/>
          <w:b/>
          <w:bCs/>
          <w:kern w:val="2"/>
          <w:sz w:val="24"/>
          <w:szCs w:val="24"/>
          <w:lang w:eastAsia="zh-CN"/>
        </w:rPr>
        <w:t>MFUS+MRF group</w:t>
      </w:r>
    </w:p>
    <w:tbl>
      <w:tblPr>
        <w:tblStyle w:val="TableGrid"/>
        <w:tblW w:w="5000" w:type="pct"/>
        <w:jc w:val="center"/>
        <w:tblLook w:val="04A0" w:firstRow="1" w:lastRow="0" w:firstColumn="1" w:lastColumn="0" w:noHBand="0" w:noVBand="1"/>
      </w:tblPr>
      <w:tblGrid>
        <w:gridCol w:w="2098"/>
        <w:gridCol w:w="2098"/>
        <w:gridCol w:w="2097"/>
        <w:gridCol w:w="2097"/>
        <w:gridCol w:w="2097"/>
        <w:gridCol w:w="2097"/>
        <w:gridCol w:w="2100"/>
      </w:tblGrid>
      <w:tr w:rsidR="00205953" w:rsidRPr="00205953">
        <w:trPr>
          <w:trHeight w:val="551"/>
          <w:tblHeader/>
          <w:jc w:val="center"/>
        </w:trPr>
        <w:tc>
          <w:tcPr>
            <w:tcW w:w="714"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VISIA parameter</w:t>
            </w:r>
          </w:p>
        </w:tc>
        <w:tc>
          <w:tcPr>
            <w:tcW w:w="714"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Follow-up</w:t>
            </w:r>
          </w:p>
        </w:tc>
        <w:tc>
          <w:tcPr>
            <w:tcW w:w="714"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Treated-side change from baseline, mean ± SD</w:t>
            </w:r>
          </w:p>
        </w:tc>
        <w:tc>
          <w:tcPr>
            <w:tcW w:w="714"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Control-side change from baseline, mean ± SD</w:t>
            </w:r>
          </w:p>
        </w:tc>
        <w:tc>
          <w:tcPr>
            <w:tcW w:w="714"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Treatment–control difference in change</w:t>
            </w:r>
            <w:r w:rsidRPr="00205953">
              <w:rPr>
                <w:rFonts w:eastAsia="游明朝" w:cs="Times New Roman"/>
                <w:kern w:val="2"/>
                <w:sz w:val="24"/>
                <w:szCs w:val="24"/>
                <w:lang w:eastAsia="zh-CN"/>
              </w:rPr>
              <w:t>, mean (95% CI)</w:t>
            </w:r>
          </w:p>
        </w:tc>
        <w:tc>
          <w:tcPr>
            <w:tcW w:w="714"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Nominal P value</w:t>
            </w:r>
          </w:p>
        </w:tc>
        <w:tc>
          <w:tcPr>
            <w:tcW w:w="715" w:type="pct"/>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FDR-adjusted P value</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-5.5 ± 30.2</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-13.1 ± 28.7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7.6 (-8.9 to 24.1)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0.324</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-6.9 ± 32.7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-12.8 ± 23.5</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5.9 (-16.2 to 28.0)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0.561</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0.924</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7.0 ± 32.1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-3.0 ± 36.4</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10.0 (-13.3</w:t>
            </w:r>
            <w:r w:rsidRPr="00205953">
              <w:rPr>
                <w:rFonts w:eastAsia="游明朝" w:cs="Times New Roman"/>
                <w:kern w:val="2"/>
                <w:sz w:val="24"/>
                <w:szCs w:val="24"/>
                <w:lang w:eastAsia="zh-CN"/>
              </w:rPr>
              <w:t xml:space="preserve"> to 33.3)</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0.356</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0.875</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-215.7 ± 359.2</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-54.1 ± 291.9</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-161.6 (-517.5 to 194.3)</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0.331</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-115.2 ± 426.0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-37.7 ± 283.4</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-77.5 (-295.9 to 140.9)</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0.443</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-126.5 ± 300.0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-64.5 ± 259.7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-62.0 (-214.5 to </w:t>
            </w:r>
            <w:r w:rsidRPr="00205953">
              <w:rPr>
                <w:rFonts w:eastAsia="游明朝" w:cs="Times New Roman"/>
                <w:kern w:val="2"/>
                <w:sz w:val="24"/>
                <w:szCs w:val="24"/>
                <w:lang w:eastAsia="zh-CN"/>
              </w:rPr>
              <w:t>90.5)</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0.382</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3.7 ± 152.5</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13.1 ± 127.5</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-9.4 (-124.1 to 105.3)</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0.857</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2.6 ± 134.9</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13.6 ± 137.1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-11.0 (-107.5 to 85.5)</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0.802</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-50.0 ± 177.3</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-49.5 ± 211.6</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-0.5 (-58.7 to 57.7)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0.985</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0.997</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Brown </w:t>
            </w:r>
            <w:r w:rsidRPr="00205953">
              <w:rPr>
                <w:rFonts w:eastAsia="游明朝" w:cs="Times New Roman"/>
                <w:kern w:val="2"/>
                <w:sz w:val="24"/>
                <w:szCs w:val="24"/>
                <w:lang w:eastAsia="zh-CN"/>
              </w:rPr>
              <w:t>spots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 ± 13.8</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-11.4 ± 14.9</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10.5 (-6.0 to 27.0)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0.183</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5.6 ± 12.8</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-0.5 ± 14.4</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6.1 (-6.2 to 18.4)</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0.290</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11.3 ± 17.1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-1.7 ± 14.0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13.0 (-0.8 to 26.8)</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0.062</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lastRenderedPageBreak/>
              <w:t>Red areas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-5.8 ± 10.0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-5.0 ± 11.9</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 (-4.3 to 2.7)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0.618</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0.936</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-3.4 ± 10.6</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-6.1 ± 12.2</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2.7 (-0.7 to 6.1)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0.105</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-0.7 ± 8.4</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 ± 10.0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 (-3.9 to 3.3)</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0.855</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143.5 ± 436.7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171.8 ± 420.2</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-28.3 (-174.6 to </w:t>
            </w:r>
            <w:r w:rsidRPr="00205953">
              <w:rPr>
                <w:rFonts w:eastAsia="游明朝" w:cs="Times New Roman"/>
                <w:kern w:val="2"/>
                <w:sz w:val="24"/>
                <w:szCs w:val="24"/>
                <w:lang w:eastAsia="zh-CN"/>
              </w:rPr>
              <w:t>118.0)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0.672</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0.941</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-59.1 ± 471.7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-79.6 ± 358.0</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20.5 (-123.7 to 164.7)</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0.755</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551"/>
          <w:jc w:val="center"/>
        </w:trPr>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211.3 ± 399.1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172.0 ± 430.1</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39.3 (-130.7 to 209.3)</w:t>
            </w:r>
          </w:p>
        </w:tc>
        <w:tc>
          <w:tcPr>
            <w:tcW w:w="714"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0.614</w:t>
            </w:r>
          </w:p>
        </w:tc>
        <w:tc>
          <w:tcPr>
            <w:tcW w:w="715" w:type="pct"/>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0.936</w:t>
            </w:r>
          </w:p>
        </w:tc>
      </w:tr>
    </w:tbl>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br w:type="page"/>
      </w:r>
    </w:p>
    <w:p w:rsidR="00A850AC" w:rsidRPr="00205953" w:rsidRDefault="00205953">
      <w:pPr>
        <w:widowControl w:val="0"/>
        <w:spacing w:after="0" w:line="240" w:lineRule="auto"/>
        <w:jc w:val="both"/>
        <w:rPr>
          <w:rFonts w:eastAsia="游明朝" w:cs="Times New Roman"/>
          <w:b/>
          <w:bCs/>
          <w:kern w:val="2"/>
          <w:sz w:val="24"/>
          <w:szCs w:val="24"/>
          <w:lang w:eastAsia="zh-CN"/>
        </w:rPr>
      </w:pPr>
      <w:r w:rsidRPr="00205953">
        <w:rPr>
          <w:rFonts w:eastAsia="游明朝" w:cs="Times New Roman"/>
          <w:b/>
          <w:bCs/>
          <w:kern w:val="2"/>
          <w:sz w:val="24"/>
          <w:szCs w:val="24"/>
          <w:lang w:eastAsia="zh-CN"/>
        </w:rPr>
        <w:lastRenderedPageBreak/>
        <w:t>MFUS group</w:t>
      </w:r>
    </w:p>
    <w:tbl>
      <w:tblPr>
        <w:tblStyle w:val="TableGrid"/>
        <w:tblW w:w="0" w:type="auto"/>
        <w:jc w:val="center"/>
        <w:tblLook w:val="04A0" w:firstRow="1" w:lastRow="0" w:firstColumn="1" w:lastColumn="0" w:noHBand="0" w:noVBand="1"/>
      </w:tblPr>
      <w:tblGrid>
        <w:gridCol w:w="1499"/>
        <w:gridCol w:w="1024"/>
        <w:gridCol w:w="2864"/>
        <w:gridCol w:w="2868"/>
        <w:gridCol w:w="3443"/>
        <w:gridCol w:w="1373"/>
        <w:gridCol w:w="1613"/>
      </w:tblGrid>
      <w:tr w:rsidR="00205953" w:rsidRPr="00205953">
        <w:trPr>
          <w:trHeight w:val="510"/>
          <w:tblHeader/>
          <w:jc w:val="center"/>
        </w:trPr>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VISIA parameter</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Follow-up</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Treated-side change from </w:t>
            </w:r>
            <w:r w:rsidRPr="00205953">
              <w:rPr>
                <w:rFonts w:eastAsia="游明朝" w:cs="Times New Roman"/>
                <w:kern w:val="2"/>
                <w:sz w:val="24"/>
                <w:szCs w:val="24"/>
                <w:lang w:eastAsia="zh-CN"/>
              </w:rPr>
              <w:t>baseline, mean ± SD</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Control-side change from baseline, mean ± SD</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Treatment–control difference in change, mean (95% CI)</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Nominal P value</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FDR-adjusted P value</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-7.3 ± 24.0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-5.8 ± 32.1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-1.5 (-16.4 to 13.4)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0.825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-13.1 </w:t>
            </w:r>
            <w:r w:rsidRPr="00205953">
              <w:rPr>
                <w:rFonts w:eastAsia="游明朝" w:cs="Times New Roman"/>
                <w:kern w:val="2"/>
                <w:sz w:val="24"/>
                <w:szCs w:val="24"/>
                <w:lang w:eastAsia="zh-CN"/>
              </w:rPr>
              <w:t>± 30.4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-11.7 ± 33.2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 (-13.0 to 10.2)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0.790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 ± 23.6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-5.1 ± 29.2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4.0 (-13.8 to 21.8)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0.624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0.936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-56.1 ± 227.2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44.3 ± 260.1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-100.4 (-249.0 to 48.2)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0.161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-132.1 ± 214.6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-121.4 ± 180.6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-10.7 (-131.3 to 109.9)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0.845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-210.6 ± 171.8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-146.9 ± 138.6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-63.7 (-196.6 to 69.2)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0.307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-35.1 ± 128.5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-70.7 ± 131.7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35.6 (-21.9 to 93.1)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0.195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24.8 ± 162.3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-42.6 ± 117.4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67.4 (-55.7 to </w:t>
            </w:r>
            <w:r w:rsidRPr="00205953">
              <w:rPr>
                <w:rFonts w:eastAsia="游明朝" w:cs="Times New Roman"/>
                <w:kern w:val="2"/>
                <w:sz w:val="24"/>
                <w:szCs w:val="24"/>
                <w:lang w:eastAsia="zh-CN"/>
              </w:rPr>
              <w:t>190.5)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0.247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-61.3 ± 213.7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-84.3 ± 232.2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23.0 (-20.5 to 66.5)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0.262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-9.4 ± 9.0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-10.8 ± 12.9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 (-5.5 to 8.3)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0.657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0.941</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-5.1 ± 19.9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-4.2 ± 13.1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 (-15.9 to 14.1)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w:t>
            </w:r>
            <w:r w:rsidRPr="00205953">
              <w:rPr>
                <w:rFonts w:eastAsia="游明朝" w:cs="Times New Roman"/>
                <w:kern w:val="2"/>
                <w:sz w:val="24"/>
                <w:szCs w:val="24"/>
                <w:lang w:eastAsia="zh-CN"/>
              </w:rPr>
              <w:t xml:space="preserve"> spots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6.0 ± 32.3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29.9 ± 93.6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-23.9 (-98.2 to 50.4)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0.486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-2.7 ± 5.0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 ± 5.5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-1.8 (-7.2 to 3.6)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0.472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-3.0 ± 3.8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-2.0 ± 3.3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 (-4.8 to 2.8)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0.565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0.924</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 ± 5.5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-0.8 ± </w:t>
            </w:r>
            <w:r w:rsidRPr="00205953">
              <w:rPr>
                <w:rFonts w:eastAsia="游明朝" w:cs="Times New Roman"/>
                <w:kern w:val="2"/>
                <w:sz w:val="24"/>
                <w:szCs w:val="24"/>
                <w:lang w:eastAsia="zh-CN"/>
              </w:rPr>
              <w:t>4.9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1.2 (-2.6 to 5.0)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0.498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-136.8 ± 422.7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-142.7 ± 369.6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5.9 (-71.9 to 83.7)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0.868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-6.8 ± 289.9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18.2 ± 401.2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-25.0 (-172.6 to 122.6)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0.711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lastRenderedPageBreak/>
              <w:t>Porphyrins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-3.0 ± 366.6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73.5 ± 348.0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-76.5 </w:t>
            </w:r>
            <w:r w:rsidRPr="00205953">
              <w:rPr>
                <w:rFonts w:eastAsia="游明朝" w:cs="Times New Roman"/>
                <w:kern w:val="2"/>
                <w:sz w:val="24"/>
                <w:szCs w:val="24"/>
                <w:lang w:eastAsia="zh-CN"/>
              </w:rPr>
              <w:t>(-186.8 to 33.8)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0.151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bl>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br w:type="page"/>
      </w:r>
    </w:p>
    <w:p w:rsidR="00A850AC" w:rsidRPr="00205953" w:rsidRDefault="00205953">
      <w:pPr>
        <w:widowControl w:val="0"/>
        <w:spacing w:after="0" w:line="240" w:lineRule="auto"/>
        <w:jc w:val="both"/>
        <w:rPr>
          <w:rFonts w:eastAsia="游明朝" w:cs="Times New Roman"/>
          <w:b/>
          <w:bCs/>
          <w:kern w:val="2"/>
          <w:sz w:val="24"/>
          <w:szCs w:val="24"/>
          <w:lang w:eastAsia="zh-CN"/>
        </w:rPr>
      </w:pPr>
      <w:r w:rsidRPr="00205953">
        <w:rPr>
          <w:rFonts w:eastAsia="游明朝" w:cs="Times New Roman"/>
          <w:b/>
          <w:bCs/>
          <w:kern w:val="2"/>
          <w:sz w:val="24"/>
          <w:szCs w:val="24"/>
          <w:lang w:eastAsia="zh-CN"/>
        </w:rPr>
        <w:lastRenderedPageBreak/>
        <w:t>MRF group</w:t>
      </w:r>
    </w:p>
    <w:tbl>
      <w:tblPr>
        <w:tblStyle w:val="TableGrid"/>
        <w:tblW w:w="0" w:type="auto"/>
        <w:jc w:val="center"/>
        <w:tblLook w:val="04A0" w:firstRow="1" w:lastRow="0" w:firstColumn="1" w:lastColumn="0" w:noHBand="0" w:noVBand="1"/>
      </w:tblPr>
      <w:tblGrid>
        <w:gridCol w:w="1499"/>
        <w:gridCol w:w="1024"/>
        <w:gridCol w:w="2864"/>
        <w:gridCol w:w="2868"/>
        <w:gridCol w:w="3443"/>
        <w:gridCol w:w="1373"/>
        <w:gridCol w:w="1613"/>
      </w:tblGrid>
      <w:tr w:rsidR="00205953" w:rsidRPr="00205953">
        <w:trPr>
          <w:trHeight w:val="510"/>
          <w:tblHeader/>
          <w:jc w:val="center"/>
        </w:trPr>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VISIA parameter</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Follow-up</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Treated-side change from baseline, mean ± SD</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Control-side change from baseline, mean ± SD</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Treatment–control difference in change, mean (95% CI)</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Nominal P value</w:t>
            </w:r>
          </w:p>
        </w:tc>
        <w:tc>
          <w:tcPr>
            <w:tcW w:w="0" w:type="auto"/>
            <w:tcBorders>
              <w:top w:val="single" w:sz="8" w:space="0" w:color="000000"/>
              <w:left w:val="single" w:sz="4" w:space="0" w:color="BFBFBF"/>
              <w:bottom w:val="single" w:sz="8" w:space="0" w:color="000000"/>
              <w:right w:val="single" w:sz="4" w:space="0" w:color="BFBFBF"/>
            </w:tcBorders>
            <w:shd w:val="clear" w:color="auto" w:fill="EDEDED"/>
            <w:tcMar>
              <w:top w:w="80" w:type="dxa"/>
              <w:left w:w="70" w:type="dxa"/>
              <w:bottom w:w="80"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FDR-adjusted P value</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-1.9 ± 30.9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-8.5 ± 24.3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6.6 (-5.2 to 18.4)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0.236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9.0 ± 27.5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7.7 ± 23.2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 (-12.0 to 14.6)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0.831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Wrinkles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 ± 27.8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-6.2 ± 27.7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6.0 (-6.0 to 18.0)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0.288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44.4 ± 305.4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80.2 ± </w:t>
            </w:r>
            <w:r w:rsidRPr="00205953">
              <w:rPr>
                <w:rFonts w:eastAsia="游明朝" w:cs="Times New Roman"/>
                <w:kern w:val="2"/>
                <w:sz w:val="24"/>
                <w:szCs w:val="24"/>
                <w:lang w:eastAsia="zh-CN"/>
              </w:rPr>
              <w:t>300.0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-35.8 (-158.6 to 87.0)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0.526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0.916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-131.5 ± 369.6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-51.4 ± 355.9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-80.1 (-241.5 to 81.3)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0.291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Texture</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-91.9 ± 310.7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-79.5 ± 291.5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-12.4 (-219.4 to 194.6)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0.948</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67.3 ± 254.6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77.8 ± 217.1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-10.5 </w:t>
            </w:r>
            <w:r w:rsidRPr="00205953">
              <w:rPr>
                <w:rFonts w:eastAsia="游明朝" w:cs="Times New Roman"/>
                <w:kern w:val="2"/>
                <w:sz w:val="24"/>
                <w:szCs w:val="24"/>
                <w:lang w:eastAsia="zh-CN"/>
              </w:rPr>
              <w:t>(-66.1 to 45.1)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0.679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0.941</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-76.6 ± 160.6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-76.5 ± 191.7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 (-50.8 to 50.6)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0.997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0.997</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Pores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-104.0 ± 286.8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-43.4 ± 246.3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-60.6 (-134.7 to 13.5)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0.097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-1.1 ± 10.9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4.0 ± 9.5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-5.1 (-12.7 to 2.5)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0.164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1.6 ± 11.5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1.5 ± 14.4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 (-10.6 to 10.8)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0.984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0.997</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Brown spots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 ± 18.0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-3.5 ± 10.9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3.9 (-7.7 to 15.5)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0.468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 ± 4.5</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-2.8 ± 4.3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1.4 (-1.6 to 4.4)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0.322</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-4.6 ± </w:t>
            </w:r>
            <w:r w:rsidRPr="00205953">
              <w:rPr>
                <w:rFonts w:eastAsia="游明朝" w:cs="Times New Roman"/>
                <w:kern w:val="2"/>
                <w:sz w:val="24"/>
                <w:szCs w:val="24"/>
                <w:lang w:eastAsia="zh-CN"/>
              </w:rPr>
              <w:t>4.4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-2.1 ± 3.4</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-2.5 (-6.0 to 1.0)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0.143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Red areas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-1.9 ± 5.0</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1.8 ± 13.7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-3.7 (-13.2 to 5.8)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0.403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 month</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260.4 ± 594.7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326.4 ± 509.1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-66.0 (-213.6 to 81.6)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0.338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Porphyrins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156.5 ± 300.7</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219.6 ± 297.6</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-63.1 (-236.1 to 109.9)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0.431</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0.896</w:t>
            </w:r>
          </w:p>
        </w:tc>
      </w:tr>
      <w:tr w:rsidR="00205953" w:rsidRPr="00205953">
        <w:trPr>
          <w:trHeight w:val="255"/>
          <w:jc w:val="center"/>
        </w:trPr>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lastRenderedPageBreak/>
              <w:t>Porphyrins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6 months</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257.0 ± 356.3</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352.5 ± 372.9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-95.5 (-194.9 to 3.9)</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0.058</w:t>
            </w:r>
          </w:p>
        </w:tc>
        <w:tc>
          <w:tcPr>
            <w:tcW w:w="0" w:type="auto"/>
            <w:tcBorders>
              <w:top w:val="single" w:sz="2" w:space="0" w:color="D9D9D9"/>
              <w:left w:val="single" w:sz="2" w:space="0" w:color="D9D9D9"/>
              <w:bottom w:val="single" w:sz="2" w:space="0" w:color="D9D9D9"/>
              <w:right w:val="single" w:sz="2" w:space="0" w:color="D9D9D9"/>
            </w:tcBorders>
            <w:tcMar>
              <w:top w:w="45" w:type="dxa"/>
              <w:left w:w="70" w:type="dxa"/>
              <w:bottom w:w="45" w:type="dxa"/>
              <w:right w:w="70" w:type="dxa"/>
            </w:tcMar>
            <w:vAlign w:val="center"/>
          </w:tcPr>
          <w:p w:rsidR="00A850AC" w:rsidRPr="00205953" w:rsidRDefault="00205953">
            <w:pPr>
              <w:widowControl w:val="0"/>
              <w:spacing w:after="0" w:line="24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0.870</w:t>
            </w:r>
          </w:p>
        </w:tc>
      </w:tr>
    </w:tbl>
    <w:p w:rsidR="00A850AC" w:rsidRPr="00205953" w:rsidRDefault="00A850AC">
      <w:pPr>
        <w:widowControl w:val="0"/>
        <w:spacing w:after="0" w:line="240" w:lineRule="auto"/>
        <w:jc w:val="both"/>
        <w:rPr>
          <w:rFonts w:eastAsia="游明朝" w:cs="Times New Roman"/>
          <w:kern w:val="2"/>
          <w:sz w:val="24"/>
          <w:szCs w:val="24"/>
          <w:lang w:eastAsia="zh-CN"/>
        </w:rPr>
      </w:pPr>
    </w:p>
    <w:p w:rsidR="00A850AC" w:rsidRPr="00205953" w:rsidRDefault="00205953">
      <w:pPr>
        <w:widowControl w:val="0"/>
        <w:spacing w:after="0" w:line="360" w:lineRule="auto"/>
        <w:jc w:val="both"/>
        <w:rPr>
          <w:rFonts w:eastAsia="游明朝" w:cs="Times New Roman"/>
          <w:b/>
          <w:bCs/>
          <w:kern w:val="2"/>
          <w:sz w:val="24"/>
          <w:szCs w:val="24"/>
          <w:lang w:eastAsia="zh-CN"/>
        </w:rPr>
      </w:pPr>
      <w:r w:rsidRPr="00205953">
        <w:rPr>
          <w:rFonts w:eastAsia="游明朝" w:cs="Times New Roman"/>
          <w:b/>
          <w:bCs/>
          <w:kern w:val="2"/>
          <w:sz w:val="24"/>
          <w:szCs w:val="24"/>
          <w:lang w:eastAsia="zh-CN"/>
        </w:rPr>
        <w:t>Table note:</w:t>
      </w:r>
      <w:r w:rsidRPr="00205953">
        <w:rPr>
          <w:rFonts w:eastAsia="游明朝" w:cs="Times New Roman" w:hint="eastAsia"/>
          <w:b/>
          <w:bCs/>
          <w:kern w:val="2"/>
          <w:sz w:val="24"/>
          <w:szCs w:val="24"/>
          <w:lang w:eastAsia="zh-CN"/>
        </w:rPr>
        <w:t xml:space="preserve"> </w:t>
      </w:r>
      <w:r w:rsidRPr="00205953">
        <w:rPr>
          <w:rFonts w:eastAsia="游明朝" w:cs="Times New Roman"/>
          <w:kern w:val="2"/>
          <w:sz w:val="24"/>
          <w:szCs w:val="24"/>
          <w:lang w:eastAsia="zh-CN"/>
        </w:rPr>
        <w:t>Values are presented as mean ± SD unless otherwise indicated.</w:t>
      </w:r>
    </w:p>
    <w:p w:rsidR="00A850AC" w:rsidRPr="00205953" w:rsidRDefault="00205953">
      <w:pPr>
        <w:widowControl w:val="0"/>
        <w:spacing w:after="0" w:line="36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For each VISIA parameter, the treatment effect is summarized as the treatment–control difference in change from baseline, expressed as mean difference with 95% CI. Nominal P values were derived from paired t tests comparing the treatment–control difference</w:t>
      </w:r>
      <w:r w:rsidRPr="00205953">
        <w:rPr>
          <w:rFonts w:eastAsia="游明朝" w:cs="Times New Roman"/>
          <w:kern w:val="2"/>
          <w:sz w:val="24"/>
          <w:szCs w:val="24"/>
          <w:lang w:eastAsia="zh-CN"/>
        </w:rPr>
        <w:t xml:space="preserve"> in change with zero, corresponding to the reported mean differences and 95% CIs. Multiplicity-adjusted P values were calculated using the Benjamini–Hochberg false discovery rate procedure across all prespecified VISIA treatment–control comparisons. </w:t>
      </w:r>
      <w:r w:rsidRPr="00205953">
        <w:rPr>
          <w:rFonts w:eastAsia="游明朝" w:cs="Times New Roman"/>
          <w:kern w:val="2"/>
          <w:sz w:val="24"/>
          <w:szCs w:val="24"/>
          <w:lang w:eastAsia="zh-CN"/>
        </w:rPr>
        <w:t>FDR co</w:t>
      </w:r>
      <w:r w:rsidRPr="00205953">
        <w:rPr>
          <w:rFonts w:eastAsia="游明朝" w:cs="Times New Roman"/>
          <w:kern w:val="2"/>
          <w:sz w:val="24"/>
          <w:szCs w:val="24"/>
          <w:lang w:eastAsia="zh-CN"/>
        </w:rPr>
        <w:t>rrection was applied across 54 prespecified treatment–control comparisons, comprising 6 VISIA-derived parameters, 3 treatment groups, and 3 follow-up time points.</w:t>
      </w:r>
      <w:r w:rsidRPr="00205953">
        <w:rPr>
          <w:rFonts w:eastAsia="游明朝" w:cs="Times New Roman" w:hint="eastAsia"/>
          <w:kern w:val="2"/>
          <w:sz w:val="24"/>
          <w:szCs w:val="24"/>
          <w:lang w:eastAsia="zh-CN"/>
        </w:rPr>
        <w:t xml:space="preserve"> </w:t>
      </w:r>
      <w:r w:rsidRPr="00205953">
        <w:rPr>
          <w:rFonts w:eastAsia="游明朝" w:cs="Times New Roman"/>
          <w:kern w:val="2"/>
          <w:sz w:val="24"/>
          <w:szCs w:val="24"/>
          <w:lang w:eastAsia="zh-CN"/>
        </w:rPr>
        <w:t>Sensitivity analyses using Wilcoxon signed-rank tests yielded similar conclusions, with no VI</w:t>
      </w:r>
      <w:r w:rsidRPr="00205953">
        <w:rPr>
          <w:rFonts w:eastAsia="游明朝" w:cs="Times New Roman"/>
          <w:kern w:val="2"/>
          <w:sz w:val="24"/>
          <w:szCs w:val="24"/>
          <w:lang w:eastAsia="zh-CN"/>
        </w:rPr>
        <w:t>SIA parameter remaining significant after FDR correction.</w:t>
      </w:r>
    </w:p>
    <w:p w:rsidR="00A850AC" w:rsidRPr="00205953" w:rsidRDefault="00205953">
      <w:pPr>
        <w:widowControl w:val="0"/>
        <w:spacing w:after="0" w:line="360" w:lineRule="auto"/>
        <w:jc w:val="both"/>
        <w:rPr>
          <w:rFonts w:eastAsia="游明朝" w:cs="Times New Roman"/>
          <w:kern w:val="2"/>
          <w:sz w:val="24"/>
          <w:szCs w:val="24"/>
          <w:lang w:eastAsia="zh-CN"/>
        </w:rPr>
      </w:pPr>
      <w:r w:rsidRPr="00205953">
        <w:rPr>
          <w:rFonts w:eastAsia="游明朝" w:cs="Times New Roman"/>
          <w:b/>
          <w:bCs/>
          <w:kern w:val="2"/>
          <w:sz w:val="24"/>
          <w:szCs w:val="24"/>
          <w:lang w:eastAsia="zh-CN"/>
        </w:rPr>
        <w:t xml:space="preserve">Abbreviations: </w:t>
      </w:r>
      <w:r w:rsidRPr="00205953">
        <w:rPr>
          <w:rFonts w:eastAsia="游明朝" w:cs="Times New Roman"/>
          <w:kern w:val="2"/>
          <w:sz w:val="24"/>
          <w:szCs w:val="24"/>
          <w:lang w:eastAsia="zh-CN"/>
        </w:rPr>
        <w:t>FDR, false discovery rate; MFUS, microfocused ultrasound; MRF, microneedle radiofrequency; VISIA, VISIA skin analysis system.</w:t>
      </w:r>
    </w:p>
    <w:p w:rsidR="00A850AC" w:rsidRPr="00205953" w:rsidRDefault="00A850AC">
      <w:pPr>
        <w:widowControl w:val="0"/>
        <w:spacing w:after="0" w:line="360" w:lineRule="auto"/>
        <w:jc w:val="both"/>
        <w:rPr>
          <w:rFonts w:eastAsia="游明朝" w:cs="Times New Roman"/>
          <w:kern w:val="2"/>
          <w:sz w:val="24"/>
          <w:szCs w:val="24"/>
          <w:lang w:eastAsia="zh-CN"/>
        </w:rPr>
      </w:pPr>
    </w:p>
    <w:p w:rsidR="00A850AC" w:rsidRPr="00205953" w:rsidRDefault="00205953">
      <w:pPr>
        <w:widowControl w:val="0"/>
        <w:spacing w:after="0" w:line="360" w:lineRule="auto"/>
        <w:jc w:val="both"/>
        <w:rPr>
          <w:rFonts w:eastAsia="游明朝" w:cs="Times New Roman"/>
          <w:kern w:val="2"/>
          <w:sz w:val="24"/>
          <w:szCs w:val="24"/>
          <w:lang w:eastAsia="zh-CN"/>
        </w:rPr>
      </w:pPr>
      <w:r w:rsidRPr="00205953">
        <w:rPr>
          <w:rFonts w:eastAsia="游明朝" w:cs="Times New Roman"/>
          <w:kern w:val="2"/>
          <w:sz w:val="24"/>
          <w:szCs w:val="24"/>
          <w:lang w:eastAsia="zh-CN"/>
        </w:rPr>
        <w:t xml:space="preserve">Brown spots were selected as the representative </w:t>
      </w:r>
      <w:r w:rsidRPr="00205953">
        <w:rPr>
          <w:rFonts w:eastAsia="游明朝" w:cs="Times New Roman"/>
          <w:kern w:val="2"/>
          <w:sz w:val="24"/>
          <w:szCs w:val="24"/>
          <w:lang w:eastAsia="zh-CN"/>
        </w:rPr>
        <w:t>pigmentation-related VISIA parameter. Standard spots and UV spots were not included because they were not prespecified endpoints and partially overlap with brown spots while reflecting broader visible marks and UV-induced pigmentation, respectively.</w:t>
      </w:r>
    </w:p>
    <w:p w:rsidR="00A850AC" w:rsidRPr="00205953" w:rsidRDefault="00A850AC">
      <w:pPr>
        <w:spacing w:before="120" w:after="80" w:line="360" w:lineRule="auto"/>
        <w:rPr>
          <w:sz w:val="24"/>
          <w:szCs w:val="24"/>
        </w:rPr>
      </w:pPr>
    </w:p>
    <w:sectPr w:rsidR="00A850AC" w:rsidRPr="00205953">
      <w:pgSz w:w="15840" w:h="12240" w:orient="landscape"/>
      <w:pgMar w:top="792" w:right="648" w:bottom="792" w:left="64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0AC" w:rsidRDefault="00205953">
      <w:pPr>
        <w:spacing w:line="240" w:lineRule="auto"/>
      </w:pPr>
      <w:r>
        <w:separator/>
      </w:r>
    </w:p>
  </w:endnote>
  <w:endnote w:type="continuationSeparator" w:id="0">
    <w:p w:rsidR="00A850AC" w:rsidRDefault="002059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游明朝">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0AC" w:rsidRDefault="00205953">
      <w:pPr>
        <w:spacing w:after="0"/>
      </w:pPr>
      <w:r>
        <w:separator/>
      </w:r>
    </w:p>
  </w:footnote>
  <w:footnote w:type="continuationSeparator" w:id="0">
    <w:p w:rsidR="00A850AC" w:rsidRDefault="002059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B224452"/>
    <w:multiLevelType w:val="singleLevel"/>
    <w:tmpl w:val="DB224452"/>
    <w:lvl w:ilvl="0">
      <w:start w:val="1"/>
      <w:numFmt w:val="upperLetter"/>
      <w:suff w:val="space"/>
      <w:lvlText w:val="(%1)"/>
      <w:lvlJc w:val="left"/>
    </w:lvl>
  </w:abstractNum>
  <w:abstractNum w:abstractNumId="1"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05953"/>
    <w:rsid w:val="0029639D"/>
    <w:rsid w:val="00326F90"/>
    <w:rsid w:val="00A850AC"/>
    <w:rsid w:val="00AA1D8D"/>
    <w:rsid w:val="00B47730"/>
    <w:rsid w:val="00CB0664"/>
    <w:rsid w:val="00FC693F"/>
    <w:rsid w:val="016F4A21"/>
    <w:rsid w:val="2E71052C"/>
    <w:rsid w:val="56480B79"/>
    <w:rsid w:val="66693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1D82ADF-9378-4758-8986-17B4E3B2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heme="minorBidi"/>
      <w:sz w:val="22"/>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F4B78-C6A2-4962-8295-2A8BBC167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2598</Words>
  <Characters>14811</Characters>
  <Application>Microsoft Office Word</Application>
  <DocSecurity>0</DocSecurity>
  <Lines>123</Lines>
  <Paragraphs>34</Paragraphs>
  <ScaleCrop>false</ScaleCrop>
  <Company/>
  <LinksUpToDate>false</LinksUpToDate>
  <CharactersWithSpaces>17375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Vigneshwaran R</cp:lastModifiedBy>
  <cp:revision>2</cp:revision>
  <dcterms:created xsi:type="dcterms:W3CDTF">2013-12-23T23:15:00Z</dcterms:created>
  <dcterms:modified xsi:type="dcterms:W3CDTF">2026-08-11T10:46:00Z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eyJoZGlkIjoiYmRiOWE3OTA1YWE0YTYwNzViYjdkMjhjYzQyYWQ5MWQiLCJ1c2VySWQiOiI0NDU1NTM4NjgifQ==</vt:lpwstr>
  </property>
  <property fmtid="{D5CDD505-2E9C-101B-9397-08002B2CF9AE}" pid="3" name="KSOProductBuildVer">
    <vt:lpwstr>2052-12.1.0.25865</vt:lpwstr>
  </property>
  <property fmtid="{D5CDD505-2E9C-101B-9397-08002B2CF9AE}" pid="4" name="ICV">
    <vt:lpwstr>C2A263F4819242E8AA3AEC576FBE54B3_13</vt:lpwstr>
  </property>
</Properties>
</file>