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2F72F" w14:textId="094B2B65" w:rsidR="00822712" w:rsidRPr="001353E9" w:rsidRDefault="001353E9" w:rsidP="00822712">
      <w:pPr>
        <w:jc w:val="right"/>
        <w:rPr>
          <w:rFonts w:ascii="Times New Roman" w:hAnsi="Times New Roman" w:cs="Times New Roman"/>
          <w:b/>
          <w:bCs/>
          <w:sz w:val="24"/>
          <w:szCs w:val="24"/>
          <w:lang w:val="en-GB"/>
        </w:rPr>
      </w:pPr>
      <w:r w:rsidRPr="001353E9">
        <w:rPr>
          <w:rFonts w:ascii="Times New Roman" w:hAnsi="Times New Roman" w:cs="Times New Roman"/>
          <w:b/>
          <w:bCs/>
          <w:sz w:val="24"/>
          <w:szCs w:val="24"/>
          <w:lang w:val="en-GB"/>
        </w:rPr>
        <w:t>Appendix F</w:t>
      </w:r>
    </w:p>
    <w:p w14:paraId="04DF9F50" w14:textId="62A0B314" w:rsidR="00822712" w:rsidRPr="00822712" w:rsidRDefault="00822712" w:rsidP="0074676B">
      <w:pPr>
        <w:spacing w:line="480" w:lineRule="auto"/>
        <w:rPr>
          <w:rFonts w:ascii="Times New Roman" w:hAnsi="Times New Roman" w:cs="Times New Roman"/>
          <w:sz w:val="24"/>
          <w:szCs w:val="24"/>
          <w:lang w:val="en-GB"/>
        </w:rPr>
      </w:pPr>
      <w:r w:rsidRPr="00822712">
        <w:rPr>
          <w:rFonts w:ascii="Times New Roman" w:hAnsi="Times New Roman" w:cs="Times New Roman"/>
          <w:sz w:val="24"/>
          <w:szCs w:val="24"/>
          <w:lang w:val="en-GB"/>
        </w:rPr>
        <w:t xml:space="preserve">Starting with TTFF, in line with the results presented in the manuscript, we found that after the inclusion of a covariate, the effect of depression remained significant, </w:t>
      </w:r>
      <w:proofErr w:type="gramStart"/>
      <w:r w:rsidRPr="00822712">
        <w:rPr>
          <w:rFonts w:ascii="Times New Roman" w:hAnsi="Times New Roman" w:cs="Times New Roman"/>
          <w:i/>
          <w:iCs/>
          <w:sz w:val="24"/>
          <w:szCs w:val="24"/>
          <w:lang w:val="en-GB"/>
        </w:rPr>
        <w:t>F</w:t>
      </w:r>
      <w:r w:rsidRPr="00822712">
        <w:rPr>
          <w:rFonts w:ascii="Times New Roman" w:hAnsi="Times New Roman" w:cs="Times New Roman"/>
          <w:sz w:val="24"/>
          <w:szCs w:val="24"/>
          <w:lang w:val="en-GB"/>
        </w:rPr>
        <w:t>(</w:t>
      </w:r>
      <w:proofErr w:type="gramEnd"/>
      <w:r w:rsidRPr="00822712">
        <w:rPr>
          <w:rFonts w:ascii="Times New Roman" w:hAnsi="Times New Roman" w:cs="Times New Roman"/>
          <w:sz w:val="24"/>
          <w:szCs w:val="24"/>
          <w:lang w:val="en-GB"/>
        </w:rPr>
        <w:t xml:space="preserve">1,200) = 7.01, </w:t>
      </w:r>
      <w:r w:rsidRPr="00822712">
        <w:rPr>
          <w:rFonts w:ascii="Times New Roman" w:hAnsi="Times New Roman" w:cs="Times New Roman"/>
          <w:i/>
          <w:iCs/>
          <w:sz w:val="24"/>
          <w:szCs w:val="24"/>
          <w:lang w:val="en-GB"/>
        </w:rPr>
        <w:t>p</w:t>
      </w:r>
      <w:r w:rsidRPr="00822712">
        <w:rPr>
          <w:rFonts w:ascii="Times New Roman" w:hAnsi="Times New Roman" w:cs="Times New Roman"/>
          <w:sz w:val="24"/>
          <w:szCs w:val="24"/>
          <w:lang w:val="en-GB"/>
        </w:rPr>
        <w:t xml:space="preserve"> &lt; .01, </w:t>
      </w:r>
      <w:r w:rsidRPr="00822712">
        <w:rPr>
          <w:rFonts w:ascii="Times New Roman" w:hAnsi="Times New Roman" w:cs="Times New Roman"/>
          <w:i/>
          <w:iCs/>
          <w:sz w:val="24"/>
          <w:szCs w:val="24"/>
        </w:rPr>
        <w:t>η</w:t>
      </w:r>
      <w:r w:rsidRPr="00822712">
        <w:rPr>
          <w:rFonts w:ascii="Times New Roman" w:hAnsi="Times New Roman" w:cs="Times New Roman"/>
          <w:i/>
          <w:iCs/>
          <w:sz w:val="24"/>
          <w:szCs w:val="24"/>
          <w:lang w:val="en-GB"/>
        </w:rPr>
        <w:t>²</w:t>
      </w:r>
      <w:r w:rsidRPr="00822712">
        <w:rPr>
          <w:rFonts w:ascii="Times New Roman" w:hAnsi="Times New Roman" w:cs="Times New Roman"/>
          <w:sz w:val="24"/>
          <w:szCs w:val="24"/>
          <w:lang w:val="en-GB"/>
        </w:rPr>
        <w:t xml:space="preserve"> = .03, indicating that depressive individuals focused longer on any type of information. We also confirmed the main effect of type of information, </w:t>
      </w:r>
      <w:proofErr w:type="gramStart"/>
      <w:r w:rsidRPr="00822712">
        <w:rPr>
          <w:rFonts w:ascii="Times New Roman" w:hAnsi="Times New Roman" w:cs="Times New Roman"/>
          <w:i/>
          <w:iCs/>
          <w:sz w:val="24"/>
          <w:szCs w:val="24"/>
          <w:lang w:val="en-GB"/>
        </w:rPr>
        <w:t>F</w:t>
      </w:r>
      <w:r w:rsidRPr="00822712">
        <w:rPr>
          <w:rFonts w:ascii="Times New Roman" w:hAnsi="Times New Roman" w:cs="Times New Roman"/>
          <w:sz w:val="24"/>
          <w:szCs w:val="24"/>
          <w:lang w:val="en-GB"/>
        </w:rPr>
        <w:t>(</w:t>
      </w:r>
      <w:proofErr w:type="gramEnd"/>
      <w:r w:rsidRPr="00822712">
        <w:rPr>
          <w:rFonts w:ascii="Times New Roman" w:hAnsi="Times New Roman" w:cs="Times New Roman"/>
          <w:sz w:val="24"/>
          <w:szCs w:val="24"/>
          <w:lang w:val="en-GB"/>
        </w:rPr>
        <w:t xml:space="preserve">1,200) = 9.80, </w:t>
      </w:r>
      <w:r w:rsidRPr="00822712">
        <w:rPr>
          <w:rFonts w:ascii="Times New Roman" w:hAnsi="Times New Roman" w:cs="Times New Roman"/>
          <w:i/>
          <w:iCs/>
          <w:sz w:val="24"/>
          <w:szCs w:val="24"/>
          <w:lang w:val="en-GB"/>
        </w:rPr>
        <w:t>p</w:t>
      </w:r>
      <w:r w:rsidRPr="00822712">
        <w:rPr>
          <w:rFonts w:ascii="Times New Roman" w:hAnsi="Times New Roman" w:cs="Times New Roman"/>
          <w:sz w:val="24"/>
          <w:szCs w:val="24"/>
          <w:lang w:val="en-GB"/>
        </w:rPr>
        <w:t xml:space="preserve"> &lt; .01, </w:t>
      </w:r>
      <w:r w:rsidRPr="00822712">
        <w:rPr>
          <w:rFonts w:ascii="Times New Roman" w:hAnsi="Times New Roman" w:cs="Times New Roman"/>
          <w:i/>
          <w:iCs/>
          <w:sz w:val="24"/>
          <w:szCs w:val="24"/>
        </w:rPr>
        <w:t>η</w:t>
      </w:r>
      <w:r w:rsidRPr="00822712">
        <w:rPr>
          <w:rFonts w:ascii="Times New Roman" w:hAnsi="Times New Roman" w:cs="Times New Roman"/>
          <w:i/>
          <w:iCs/>
          <w:sz w:val="24"/>
          <w:szCs w:val="24"/>
          <w:lang w:val="en-GB"/>
        </w:rPr>
        <w:t>²</w:t>
      </w:r>
      <w:r w:rsidRPr="00822712">
        <w:rPr>
          <w:rFonts w:ascii="Times New Roman" w:hAnsi="Times New Roman" w:cs="Times New Roman"/>
          <w:sz w:val="24"/>
          <w:szCs w:val="24"/>
          <w:lang w:val="en-GB"/>
        </w:rPr>
        <w:t xml:space="preserve"> = .05, showing that participants fixated faster on positive rather than negative features. No interaction effects reached statistical significance, thus replicating the pattern reported in the manuscript.</w:t>
      </w:r>
    </w:p>
    <w:p w14:paraId="11EF73C4" w14:textId="77777777" w:rsidR="00822712" w:rsidRPr="00822712" w:rsidRDefault="00822712" w:rsidP="0074676B">
      <w:pPr>
        <w:spacing w:line="480" w:lineRule="auto"/>
        <w:rPr>
          <w:rFonts w:ascii="Times New Roman" w:hAnsi="Times New Roman" w:cs="Times New Roman"/>
          <w:sz w:val="24"/>
          <w:szCs w:val="24"/>
          <w:lang w:val="en-GB"/>
        </w:rPr>
      </w:pPr>
      <w:r w:rsidRPr="00822712">
        <w:rPr>
          <w:rFonts w:ascii="Times New Roman" w:hAnsi="Times New Roman" w:cs="Times New Roman"/>
          <w:sz w:val="24"/>
          <w:szCs w:val="24"/>
          <w:lang w:val="en-GB"/>
        </w:rPr>
        <w:t xml:space="preserve">Moving on to dwell time, the main effect of depression remained non-significant after inclusion of the covariate, </w:t>
      </w:r>
      <w:proofErr w:type="gramStart"/>
      <w:r w:rsidRPr="00822712">
        <w:rPr>
          <w:rFonts w:ascii="Times New Roman" w:hAnsi="Times New Roman" w:cs="Times New Roman"/>
          <w:i/>
          <w:iCs/>
          <w:sz w:val="24"/>
          <w:szCs w:val="24"/>
          <w:lang w:val="en-GB"/>
        </w:rPr>
        <w:t>F</w:t>
      </w:r>
      <w:r w:rsidRPr="00822712">
        <w:rPr>
          <w:rFonts w:ascii="Times New Roman" w:hAnsi="Times New Roman" w:cs="Times New Roman"/>
          <w:sz w:val="24"/>
          <w:szCs w:val="24"/>
          <w:lang w:val="en-GB"/>
        </w:rPr>
        <w:t>(</w:t>
      </w:r>
      <w:proofErr w:type="gramEnd"/>
      <w:r w:rsidRPr="00822712">
        <w:rPr>
          <w:rFonts w:ascii="Times New Roman" w:hAnsi="Times New Roman" w:cs="Times New Roman"/>
          <w:sz w:val="24"/>
          <w:szCs w:val="24"/>
          <w:lang w:val="en-GB"/>
        </w:rPr>
        <w:t xml:space="preserve">1,200) = 2.87, </w:t>
      </w:r>
      <w:r w:rsidRPr="00822712">
        <w:rPr>
          <w:rFonts w:ascii="Times New Roman" w:hAnsi="Times New Roman" w:cs="Times New Roman"/>
          <w:i/>
          <w:iCs/>
          <w:sz w:val="24"/>
          <w:szCs w:val="24"/>
          <w:lang w:val="en-GB"/>
        </w:rPr>
        <w:t>p</w:t>
      </w:r>
      <w:r w:rsidRPr="00822712">
        <w:rPr>
          <w:rFonts w:ascii="Times New Roman" w:hAnsi="Times New Roman" w:cs="Times New Roman"/>
          <w:sz w:val="24"/>
          <w:szCs w:val="24"/>
          <w:lang w:val="en-GB"/>
        </w:rPr>
        <w:t xml:space="preserve"> = .09. In contrast, the main effect of type of information was consistent with the results presented in the manuscript, </w:t>
      </w:r>
      <w:proofErr w:type="gramStart"/>
      <w:r w:rsidRPr="00822712">
        <w:rPr>
          <w:rFonts w:ascii="Times New Roman" w:hAnsi="Times New Roman" w:cs="Times New Roman"/>
          <w:i/>
          <w:iCs/>
          <w:sz w:val="24"/>
          <w:szCs w:val="24"/>
          <w:lang w:val="en-GB"/>
        </w:rPr>
        <w:t>F</w:t>
      </w:r>
      <w:r w:rsidRPr="00822712">
        <w:rPr>
          <w:rFonts w:ascii="Times New Roman" w:hAnsi="Times New Roman" w:cs="Times New Roman"/>
          <w:sz w:val="24"/>
          <w:szCs w:val="24"/>
          <w:lang w:val="en-GB"/>
        </w:rPr>
        <w:t>(</w:t>
      </w:r>
      <w:proofErr w:type="gramEnd"/>
      <w:r w:rsidRPr="00822712">
        <w:rPr>
          <w:rFonts w:ascii="Times New Roman" w:hAnsi="Times New Roman" w:cs="Times New Roman"/>
          <w:sz w:val="24"/>
          <w:szCs w:val="24"/>
          <w:lang w:val="en-GB"/>
        </w:rPr>
        <w:t xml:space="preserve">1,200) = 111.96, </w:t>
      </w:r>
      <w:r w:rsidRPr="00822712">
        <w:rPr>
          <w:rFonts w:ascii="Times New Roman" w:hAnsi="Times New Roman" w:cs="Times New Roman"/>
          <w:i/>
          <w:iCs/>
          <w:sz w:val="24"/>
          <w:szCs w:val="24"/>
          <w:lang w:val="en-GB"/>
        </w:rPr>
        <w:t>p</w:t>
      </w:r>
      <w:r w:rsidRPr="00822712">
        <w:rPr>
          <w:rFonts w:ascii="Times New Roman" w:hAnsi="Times New Roman" w:cs="Times New Roman"/>
          <w:sz w:val="24"/>
          <w:szCs w:val="24"/>
          <w:lang w:val="en-GB"/>
        </w:rPr>
        <w:t xml:space="preserve"> &lt; .001, </w:t>
      </w:r>
      <w:r w:rsidRPr="00822712">
        <w:rPr>
          <w:rFonts w:ascii="Times New Roman" w:hAnsi="Times New Roman" w:cs="Times New Roman"/>
          <w:i/>
          <w:iCs/>
          <w:sz w:val="24"/>
          <w:szCs w:val="24"/>
        </w:rPr>
        <w:t>η</w:t>
      </w:r>
      <w:r w:rsidRPr="00822712">
        <w:rPr>
          <w:rFonts w:ascii="Times New Roman" w:hAnsi="Times New Roman" w:cs="Times New Roman"/>
          <w:i/>
          <w:iCs/>
          <w:sz w:val="24"/>
          <w:szCs w:val="24"/>
          <w:lang w:val="en-GB"/>
        </w:rPr>
        <w:t>²</w:t>
      </w:r>
      <w:r w:rsidRPr="00822712">
        <w:rPr>
          <w:rFonts w:ascii="Times New Roman" w:hAnsi="Times New Roman" w:cs="Times New Roman"/>
          <w:sz w:val="24"/>
          <w:szCs w:val="24"/>
          <w:lang w:val="en-GB"/>
        </w:rPr>
        <w:t xml:space="preserve"> = .36, indicating that participants focused longer on negative than positive features.</w:t>
      </w:r>
    </w:p>
    <w:p w14:paraId="2A38E66B" w14:textId="77777777" w:rsidR="00822712" w:rsidRPr="00822712" w:rsidRDefault="00822712" w:rsidP="0074676B">
      <w:pPr>
        <w:spacing w:line="480" w:lineRule="auto"/>
        <w:rPr>
          <w:rFonts w:ascii="Times New Roman" w:hAnsi="Times New Roman" w:cs="Times New Roman"/>
          <w:sz w:val="24"/>
          <w:szCs w:val="24"/>
          <w:lang w:val="en-GB"/>
        </w:rPr>
      </w:pPr>
      <w:r w:rsidRPr="00822712">
        <w:rPr>
          <w:rFonts w:ascii="Times New Roman" w:hAnsi="Times New Roman" w:cs="Times New Roman"/>
          <w:sz w:val="24"/>
          <w:szCs w:val="24"/>
          <w:lang w:val="en-GB"/>
        </w:rPr>
        <w:t xml:space="preserve">We further confirmed the significant effect of priming condition on dwell time, </w:t>
      </w:r>
      <w:proofErr w:type="gramStart"/>
      <w:r w:rsidRPr="00822712">
        <w:rPr>
          <w:rFonts w:ascii="Times New Roman" w:hAnsi="Times New Roman" w:cs="Times New Roman"/>
          <w:i/>
          <w:iCs/>
          <w:sz w:val="24"/>
          <w:szCs w:val="24"/>
          <w:lang w:val="en-GB"/>
        </w:rPr>
        <w:t>F</w:t>
      </w:r>
      <w:r w:rsidRPr="00822712">
        <w:rPr>
          <w:rFonts w:ascii="Times New Roman" w:hAnsi="Times New Roman" w:cs="Times New Roman"/>
          <w:sz w:val="24"/>
          <w:szCs w:val="24"/>
          <w:lang w:val="en-GB"/>
        </w:rPr>
        <w:t>(</w:t>
      </w:r>
      <w:proofErr w:type="gramEnd"/>
      <w:r w:rsidRPr="00822712">
        <w:rPr>
          <w:rFonts w:ascii="Times New Roman" w:hAnsi="Times New Roman" w:cs="Times New Roman"/>
          <w:sz w:val="24"/>
          <w:szCs w:val="24"/>
          <w:lang w:val="en-GB"/>
        </w:rPr>
        <w:t xml:space="preserve">1,200) = 4.82, </w:t>
      </w:r>
      <w:r w:rsidRPr="00822712">
        <w:rPr>
          <w:rFonts w:ascii="Times New Roman" w:hAnsi="Times New Roman" w:cs="Times New Roman"/>
          <w:i/>
          <w:iCs/>
          <w:sz w:val="24"/>
          <w:szCs w:val="24"/>
          <w:lang w:val="en-GB"/>
        </w:rPr>
        <w:t>p</w:t>
      </w:r>
      <w:r w:rsidRPr="00822712">
        <w:rPr>
          <w:rFonts w:ascii="Times New Roman" w:hAnsi="Times New Roman" w:cs="Times New Roman"/>
          <w:sz w:val="24"/>
          <w:szCs w:val="24"/>
          <w:lang w:val="en-GB"/>
        </w:rPr>
        <w:t xml:space="preserve"> = .003, </w:t>
      </w:r>
      <w:r w:rsidRPr="00822712">
        <w:rPr>
          <w:rFonts w:ascii="Times New Roman" w:hAnsi="Times New Roman" w:cs="Times New Roman"/>
          <w:i/>
          <w:iCs/>
          <w:sz w:val="24"/>
          <w:szCs w:val="24"/>
        </w:rPr>
        <w:t>η</w:t>
      </w:r>
      <w:r w:rsidRPr="00822712">
        <w:rPr>
          <w:rFonts w:ascii="Times New Roman" w:hAnsi="Times New Roman" w:cs="Times New Roman"/>
          <w:i/>
          <w:iCs/>
          <w:sz w:val="24"/>
          <w:szCs w:val="24"/>
          <w:lang w:val="en-GB"/>
        </w:rPr>
        <w:t>²</w:t>
      </w:r>
      <w:r w:rsidRPr="00822712">
        <w:rPr>
          <w:rFonts w:ascii="Times New Roman" w:hAnsi="Times New Roman" w:cs="Times New Roman"/>
          <w:sz w:val="24"/>
          <w:szCs w:val="24"/>
          <w:lang w:val="en-GB"/>
        </w:rPr>
        <w:t xml:space="preserve"> = .07, replicating the previous findings and indicating that the control group fixated on both negative and positive features for the shortest duration compared to all other conditions. Similarly, interaction patterns largely mirrored those reported in the manuscript: the type of information × depression interaction and the type of information × priming interaction both remained significant after inclusion of the covariate, </w:t>
      </w:r>
      <w:proofErr w:type="gramStart"/>
      <w:r w:rsidRPr="00822712">
        <w:rPr>
          <w:rFonts w:ascii="Times New Roman" w:hAnsi="Times New Roman" w:cs="Times New Roman"/>
          <w:i/>
          <w:iCs/>
          <w:sz w:val="24"/>
          <w:szCs w:val="24"/>
          <w:lang w:val="en-GB"/>
        </w:rPr>
        <w:t>F</w:t>
      </w:r>
      <w:r w:rsidRPr="00822712">
        <w:rPr>
          <w:rFonts w:ascii="Times New Roman" w:hAnsi="Times New Roman" w:cs="Times New Roman"/>
          <w:sz w:val="24"/>
          <w:szCs w:val="24"/>
          <w:lang w:val="en-GB"/>
        </w:rPr>
        <w:t>(</w:t>
      </w:r>
      <w:proofErr w:type="gramEnd"/>
      <w:r w:rsidRPr="00822712">
        <w:rPr>
          <w:rFonts w:ascii="Times New Roman" w:hAnsi="Times New Roman" w:cs="Times New Roman"/>
          <w:sz w:val="24"/>
          <w:szCs w:val="24"/>
          <w:lang w:val="en-GB"/>
        </w:rPr>
        <w:t xml:space="preserve">1,200) = 7.37, </w:t>
      </w:r>
      <w:r w:rsidRPr="00822712">
        <w:rPr>
          <w:rFonts w:ascii="Times New Roman" w:hAnsi="Times New Roman" w:cs="Times New Roman"/>
          <w:i/>
          <w:iCs/>
          <w:sz w:val="24"/>
          <w:szCs w:val="24"/>
          <w:lang w:val="en-GB"/>
        </w:rPr>
        <w:t>p</w:t>
      </w:r>
      <w:r w:rsidRPr="00822712">
        <w:rPr>
          <w:rFonts w:ascii="Times New Roman" w:hAnsi="Times New Roman" w:cs="Times New Roman"/>
          <w:sz w:val="24"/>
          <w:szCs w:val="24"/>
          <w:lang w:val="en-GB"/>
        </w:rPr>
        <w:t xml:space="preserve"> = .007, </w:t>
      </w:r>
      <w:r w:rsidRPr="00822712">
        <w:rPr>
          <w:rFonts w:ascii="Times New Roman" w:hAnsi="Times New Roman" w:cs="Times New Roman"/>
          <w:i/>
          <w:iCs/>
          <w:sz w:val="24"/>
          <w:szCs w:val="24"/>
        </w:rPr>
        <w:t>η</w:t>
      </w:r>
      <w:r w:rsidRPr="00822712">
        <w:rPr>
          <w:rFonts w:ascii="Times New Roman" w:hAnsi="Times New Roman" w:cs="Times New Roman"/>
          <w:i/>
          <w:iCs/>
          <w:sz w:val="24"/>
          <w:szCs w:val="24"/>
          <w:lang w:val="en-GB"/>
        </w:rPr>
        <w:t>²</w:t>
      </w:r>
      <w:r w:rsidRPr="00822712">
        <w:rPr>
          <w:rFonts w:ascii="Times New Roman" w:hAnsi="Times New Roman" w:cs="Times New Roman"/>
          <w:sz w:val="24"/>
          <w:szCs w:val="24"/>
          <w:lang w:val="en-GB"/>
        </w:rPr>
        <w:t xml:space="preserve"> = .04, and </w:t>
      </w:r>
      <w:proofErr w:type="gramStart"/>
      <w:r w:rsidRPr="00822712">
        <w:rPr>
          <w:rFonts w:ascii="Times New Roman" w:hAnsi="Times New Roman" w:cs="Times New Roman"/>
          <w:i/>
          <w:iCs/>
          <w:sz w:val="24"/>
          <w:szCs w:val="24"/>
          <w:lang w:val="en-GB"/>
        </w:rPr>
        <w:t>F</w:t>
      </w:r>
      <w:r w:rsidRPr="00822712">
        <w:rPr>
          <w:rFonts w:ascii="Times New Roman" w:hAnsi="Times New Roman" w:cs="Times New Roman"/>
          <w:sz w:val="24"/>
          <w:szCs w:val="24"/>
          <w:lang w:val="en-GB"/>
        </w:rPr>
        <w:t>(</w:t>
      </w:r>
      <w:proofErr w:type="gramEnd"/>
      <w:r w:rsidRPr="00822712">
        <w:rPr>
          <w:rFonts w:ascii="Times New Roman" w:hAnsi="Times New Roman" w:cs="Times New Roman"/>
          <w:sz w:val="24"/>
          <w:szCs w:val="24"/>
          <w:lang w:val="en-GB"/>
        </w:rPr>
        <w:t xml:space="preserve">3,200) = 10.18, </w:t>
      </w:r>
      <w:r w:rsidRPr="00822712">
        <w:rPr>
          <w:rFonts w:ascii="Times New Roman" w:hAnsi="Times New Roman" w:cs="Times New Roman"/>
          <w:i/>
          <w:iCs/>
          <w:sz w:val="24"/>
          <w:szCs w:val="24"/>
          <w:lang w:val="en-GB"/>
        </w:rPr>
        <w:t>p</w:t>
      </w:r>
      <w:r w:rsidRPr="00822712">
        <w:rPr>
          <w:rFonts w:ascii="Times New Roman" w:hAnsi="Times New Roman" w:cs="Times New Roman"/>
          <w:sz w:val="24"/>
          <w:szCs w:val="24"/>
          <w:lang w:val="en-GB"/>
        </w:rPr>
        <w:t xml:space="preserve"> &lt; .001, </w:t>
      </w:r>
      <w:r w:rsidRPr="00822712">
        <w:rPr>
          <w:rFonts w:ascii="Times New Roman" w:hAnsi="Times New Roman" w:cs="Times New Roman"/>
          <w:i/>
          <w:iCs/>
          <w:sz w:val="24"/>
          <w:szCs w:val="24"/>
        </w:rPr>
        <w:t>η</w:t>
      </w:r>
      <w:r w:rsidRPr="00822712">
        <w:rPr>
          <w:rFonts w:ascii="Times New Roman" w:hAnsi="Times New Roman" w:cs="Times New Roman"/>
          <w:i/>
          <w:iCs/>
          <w:sz w:val="24"/>
          <w:szCs w:val="24"/>
          <w:lang w:val="en-GB"/>
        </w:rPr>
        <w:t>²</w:t>
      </w:r>
      <w:r w:rsidRPr="00822712">
        <w:rPr>
          <w:rFonts w:ascii="Times New Roman" w:hAnsi="Times New Roman" w:cs="Times New Roman"/>
          <w:sz w:val="24"/>
          <w:szCs w:val="24"/>
          <w:lang w:val="en-GB"/>
        </w:rPr>
        <w:t xml:space="preserve"> = .13, respectively.</w:t>
      </w:r>
    </w:p>
    <w:p w14:paraId="63EC63E5" w14:textId="77777777" w:rsidR="00822712" w:rsidRPr="00822712" w:rsidRDefault="00822712" w:rsidP="0074676B">
      <w:pPr>
        <w:spacing w:line="480" w:lineRule="auto"/>
        <w:rPr>
          <w:rFonts w:ascii="Times New Roman" w:hAnsi="Times New Roman" w:cs="Times New Roman"/>
          <w:sz w:val="24"/>
          <w:szCs w:val="24"/>
          <w:lang w:val="en-GB"/>
        </w:rPr>
      </w:pPr>
      <w:r w:rsidRPr="00822712">
        <w:rPr>
          <w:rFonts w:ascii="Times New Roman" w:hAnsi="Times New Roman" w:cs="Times New Roman"/>
          <w:sz w:val="24"/>
          <w:szCs w:val="24"/>
          <w:lang w:val="en-GB"/>
        </w:rPr>
        <w:t xml:space="preserve">The three-way interaction of depression × type of information × priming showed a marginal trend but did not reach statistical significance, </w:t>
      </w:r>
      <w:proofErr w:type="gramStart"/>
      <w:r w:rsidRPr="00822712">
        <w:rPr>
          <w:rFonts w:ascii="Times New Roman" w:hAnsi="Times New Roman" w:cs="Times New Roman"/>
          <w:i/>
          <w:iCs/>
          <w:sz w:val="24"/>
          <w:szCs w:val="24"/>
          <w:lang w:val="en-GB"/>
        </w:rPr>
        <w:t>F</w:t>
      </w:r>
      <w:r w:rsidRPr="00822712">
        <w:rPr>
          <w:rFonts w:ascii="Times New Roman" w:hAnsi="Times New Roman" w:cs="Times New Roman"/>
          <w:sz w:val="24"/>
          <w:szCs w:val="24"/>
          <w:lang w:val="en-GB"/>
        </w:rPr>
        <w:t>(</w:t>
      </w:r>
      <w:proofErr w:type="gramEnd"/>
      <w:r w:rsidRPr="00822712">
        <w:rPr>
          <w:rFonts w:ascii="Times New Roman" w:hAnsi="Times New Roman" w:cs="Times New Roman"/>
          <w:sz w:val="24"/>
          <w:szCs w:val="24"/>
          <w:lang w:val="en-GB"/>
        </w:rPr>
        <w:t xml:space="preserve">3,200) = 2.52, </w:t>
      </w:r>
      <w:r w:rsidRPr="00822712">
        <w:rPr>
          <w:rFonts w:ascii="Times New Roman" w:hAnsi="Times New Roman" w:cs="Times New Roman"/>
          <w:i/>
          <w:iCs/>
          <w:sz w:val="24"/>
          <w:szCs w:val="24"/>
          <w:lang w:val="en-GB"/>
        </w:rPr>
        <w:t>p</w:t>
      </w:r>
      <w:r w:rsidRPr="00822712">
        <w:rPr>
          <w:rFonts w:ascii="Times New Roman" w:hAnsi="Times New Roman" w:cs="Times New Roman"/>
          <w:sz w:val="24"/>
          <w:szCs w:val="24"/>
          <w:lang w:val="en-GB"/>
        </w:rPr>
        <w:t xml:space="preserve"> = .059, </w:t>
      </w:r>
      <w:r w:rsidRPr="00822712">
        <w:rPr>
          <w:rFonts w:ascii="Times New Roman" w:hAnsi="Times New Roman" w:cs="Times New Roman"/>
          <w:i/>
          <w:iCs/>
          <w:sz w:val="24"/>
          <w:szCs w:val="24"/>
        </w:rPr>
        <w:t>η</w:t>
      </w:r>
      <w:r w:rsidRPr="00822712">
        <w:rPr>
          <w:rFonts w:ascii="Times New Roman" w:hAnsi="Times New Roman" w:cs="Times New Roman"/>
          <w:i/>
          <w:iCs/>
          <w:sz w:val="24"/>
          <w:szCs w:val="24"/>
          <w:lang w:val="en-GB"/>
        </w:rPr>
        <w:t>²</w:t>
      </w:r>
      <w:r w:rsidRPr="00822712">
        <w:rPr>
          <w:rFonts w:ascii="Times New Roman" w:hAnsi="Times New Roman" w:cs="Times New Roman"/>
          <w:sz w:val="24"/>
          <w:szCs w:val="24"/>
          <w:lang w:val="en-GB"/>
        </w:rPr>
        <w:t xml:space="preserve"> = .036, as previously reported.</w:t>
      </w:r>
    </w:p>
    <w:p w14:paraId="7EC13DE6" w14:textId="26EEF9B9" w:rsidR="00822712" w:rsidRPr="00822712" w:rsidRDefault="00822712" w:rsidP="0074676B">
      <w:pPr>
        <w:spacing w:line="480" w:lineRule="auto"/>
        <w:rPr>
          <w:rFonts w:ascii="Times New Roman" w:hAnsi="Times New Roman" w:cs="Times New Roman"/>
          <w:sz w:val="24"/>
          <w:szCs w:val="24"/>
          <w:lang w:val="en-GB"/>
        </w:rPr>
      </w:pPr>
      <w:r w:rsidRPr="00822712">
        <w:rPr>
          <w:rFonts w:ascii="Times New Roman" w:hAnsi="Times New Roman" w:cs="Times New Roman"/>
          <w:sz w:val="24"/>
          <w:szCs w:val="24"/>
          <w:lang w:val="en-GB"/>
        </w:rPr>
        <w:t xml:space="preserve">Exploratory analyses of this three-way interaction revealed that, in the upward condition, depressed individuals showed shorter dwell times than healthy participants. In the similarity </w:t>
      </w:r>
      <w:r w:rsidRPr="00822712">
        <w:rPr>
          <w:rFonts w:ascii="Times New Roman" w:hAnsi="Times New Roman" w:cs="Times New Roman"/>
          <w:sz w:val="24"/>
          <w:szCs w:val="24"/>
          <w:lang w:val="en-GB"/>
        </w:rPr>
        <w:lastRenderedPageBreak/>
        <w:t xml:space="preserve">condition, depressed individuals focused </w:t>
      </w:r>
      <w:r w:rsidR="00680C23">
        <w:rPr>
          <w:rFonts w:ascii="Times New Roman" w:hAnsi="Times New Roman" w:cs="Times New Roman"/>
          <w:sz w:val="24"/>
          <w:szCs w:val="24"/>
          <w:lang w:val="en-GB"/>
        </w:rPr>
        <w:t>shorter</w:t>
      </w:r>
      <w:r w:rsidRPr="00822712">
        <w:rPr>
          <w:rFonts w:ascii="Times New Roman" w:hAnsi="Times New Roman" w:cs="Times New Roman"/>
          <w:sz w:val="24"/>
          <w:szCs w:val="24"/>
          <w:lang w:val="en-GB"/>
        </w:rPr>
        <w:t xml:space="preserve"> on negative features than healthy individuals, and within this group they also attended to negative features </w:t>
      </w:r>
      <w:r w:rsidR="00680C23">
        <w:rPr>
          <w:rFonts w:ascii="Times New Roman" w:hAnsi="Times New Roman" w:cs="Times New Roman"/>
          <w:sz w:val="24"/>
          <w:szCs w:val="24"/>
          <w:lang w:val="en-GB"/>
        </w:rPr>
        <w:t>shorter</w:t>
      </w:r>
      <w:r w:rsidRPr="00822712">
        <w:rPr>
          <w:rFonts w:ascii="Times New Roman" w:hAnsi="Times New Roman" w:cs="Times New Roman"/>
          <w:sz w:val="24"/>
          <w:szCs w:val="24"/>
          <w:lang w:val="en-GB"/>
        </w:rPr>
        <w:t xml:space="preserve"> than to positive ones. Healthy participants, in turn, showed longer dwell times for negative features in both downward and similarity-based conditions, whereas no significant effects were found in the control condition.</w:t>
      </w:r>
    </w:p>
    <w:p w14:paraId="5670AE78" w14:textId="77777777" w:rsidR="00822712" w:rsidRPr="00822712" w:rsidRDefault="00822712" w:rsidP="0074676B">
      <w:pPr>
        <w:spacing w:line="480" w:lineRule="auto"/>
        <w:rPr>
          <w:rFonts w:ascii="Times New Roman" w:hAnsi="Times New Roman" w:cs="Times New Roman"/>
          <w:sz w:val="24"/>
          <w:szCs w:val="24"/>
          <w:lang w:val="en-GB"/>
        </w:rPr>
      </w:pPr>
      <w:r w:rsidRPr="00822712">
        <w:rPr>
          <w:rFonts w:ascii="Times New Roman" w:hAnsi="Times New Roman" w:cs="Times New Roman"/>
          <w:sz w:val="24"/>
          <w:szCs w:val="24"/>
          <w:lang w:val="en-GB"/>
        </w:rPr>
        <w:t>The only deviations from the results reported in the manuscript concerned the lack of significant differences in the upward condition for the healthy group (</w:t>
      </w:r>
      <w:r w:rsidRPr="00822712">
        <w:rPr>
          <w:rFonts w:ascii="Times New Roman" w:hAnsi="Times New Roman" w:cs="Times New Roman"/>
          <w:i/>
          <w:iCs/>
          <w:sz w:val="24"/>
          <w:szCs w:val="24"/>
          <w:lang w:val="en-GB"/>
        </w:rPr>
        <w:t>p</w:t>
      </w:r>
      <w:r w:rsidRPr="00822712">
        <w:rPr>
          <w:rFonts w:ascii="Times New Roman" w:hAnsi="Times New Roman" w:cs="Times New Roman"/>
          <w:sz w:val="24"/>
          <w:szCs w:val="24"/>
          <w:lang w:val="en-GB"/>
        </w:rPr>
        <w:t xml:space="preserve"> = .77), as well as the absence of increased dwell time on negative features among depressed individuals in the downward condition (</w:t>
      </w:r>
      <w:r w:rsidRPr="00822712">
        <w:rPr>
          <w:rFonts w:ascii="Times New Roman" w:hAnsi="Times New Roman" w:cs="Times New Roman"/>
          <w:i/>
          <w:iCs/>
          <w:sz w:val="24"/>
          <w:szCs w:val="24"/>
          <w:lang w:val="en-GB"/>
        </w:rPr>
        <w:t>p</w:t>
      </w:r>
      <w:r w:rsidRPr="00822712">
        <w:rPr>
          <w:rFonts w:ascii="Times New Roman" w:hAnsi="Times New Roman" w:cs="Times New Roman"/>
          <w:sz w:val="24"/>
          <w:szCs w:val="24"/>
          <w:lang w:val="en-GB"/>
        </w:rPr>
        <w:t xml:space="preserve"> = .059). Finally, no significant priming-related effects were observed in the healthy group.</w:t>
      </w:r>
    </w:p>
    <w:p w14:paraId="686DBFF4" w14:textId="34928881" w:rsidR="00BD6F1E" w:rsidRPr="00FE5A12" w:rsidRDefault="00822712" w:rsidP="0074676B">
      <w:pPr>
        <w:spacing w:line="480" w:lineRule="auto"/>
        <w:rPr>
          <w:rFonts w:ascii="Times New Roman" w:hAnsi="Times New Roman" w:cs="Times New Roman"/>
          <w:sz w:val="24"/>
          <w:szCs w:val="24"/>
          <w:lang w:val="en-GB"/>
        </w:rPr>
      </w:pPr>
      <w:r w:rsidRPr="00822712">
        <w:rPr>
          <w:rFonts w:ascii="Times New Roman" w:hAnsi="Times New Roman" w:cs="Times New Roman"/>
          <w:sz w:val="24"/>
          <w:szCs w:val="24"/>
          <w:lang w:val="en-GB"/>
        </w:rPr>
        <w:t>Taken together, the overall pattern of results and conclusions reported in the manuscript was largely replicated after controlling for individual differences in social comparison tendencies, with only minor deviations in some exploratory analyses of the non-significant three-way interaction.</w:t>
      </w:r>
    </w:p>
    <w:sectPr w:rsidR="00BD6F1E" w:rsidRPr="00FE5A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67D"/>
    <w:rsid w:val="001100DC"/>
    <w:rsid w:val="001353E9"/>
    <w:rsid w:val="003F75C4"/>
    <w:rsid w:val="00504667"/>
    <w:rsid w:val="00530B4B"/>
    <w:rsid w:val="00615542"/>
    <w:rsid w:val="00680C23"/>
    <w:rsid w:val="0074676B"/>
    <w:rsid w:val="007E7F6E"/>
    <w:rsid w:val="00822712"/>
    <w:rsid w:val="00921956"/>
    <w:rsid w:val="0095667D"/>
    <w:rsid w:val="00A24291"/>
    <w:rsid w:val="00B46FEE"/>
    <w:rsid w:val="00B91E27"/>
    <w:rsid w:val="00BD6F1E"/>
    <w:rsid w:val="00FE5A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98615"/>
  <w15:chartTrackingRefBased/>
  <w15:docId w15:val="{AAD68B07-3B0B-4550-8B7D-5EA64A141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1E27"/>
  </w:style>
  <w:style w:type="paragraph" w:styleId="Nagwek1">
    <w:name w:val="heading 1"/>
    <w:basedOn w:val="Normalny"/>
    <w:next w:val="Normalny"/>
    <w:link w:val="Nagwek1Znak"/>
    <w:uiPriority w:val="9"/>
    <w:qFormat/>
    <w:rsid w:val="009566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566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5667D"/>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5667D"/>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5667D"/>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5667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5667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5667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5667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5667D"/>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5667D"/>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5667D"/>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5667D"/>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5667D"/>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5667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5667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5667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5667D"/>
    <w:rPr>
      <w:rFonts w:eastAsiaTheme="majorEastAsia" w:cstheme="majorBidi"/>
      <w:color w:val="272727" w:themeColor="text1" w:themeTint="D8"/>
    </w:rPr>
  </w:style>
  <w:style w:type="paragraph" w:styleId="Tytu">
    <w:name w:val="Title"/>
    <w:basedOn w:val="Normalny"/>
    <w:next w:val="Normalny"/>
    <w:link w:val="TytuZnak"/>
    <w:uiPriority w:val="10"/>
    <w:qFormat/>
    <w:rsid w:val="00956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5667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5667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5667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5667D"/>
    <w:pPr>
      <w:spacing w:before="160"/>
      <w:jc w:val="center"/>
    </w:pPr>
    <w:rPr>
      <w:i/>
      <w:iCs/>
      <w:color w:val="404040" w:themeColor="text1" w:themeTint="BF"/>
    </w:rPr>
  </w:style>
  <w:style w:type="character" w:customStyle="1" w:styleId="CytatZnak">
    <w:name w:val="Cytat Znak"/>
    <w:basedOn w:val="Domylnaczcionkaakapitu"/>
    <w:link w:val="Cytat"/>
    <w:uiPriority w:val="29"/>
    <w:rsid w:val="0095667D"/>
    <w:rPr>
      <w:i/>
      <w:iCs/>
      <w:color w:val="404040" w:themeColor="text1" w:themeTint="BF"/>
    </w:rPr>
  </w:style>
  <w:style w:type="paragraph" w:styleId="Akapitzlist">
    <w:name w:val="List Paragraph"/>
    <w:basedOn w:val="Normalny"/>
    <w:uiPriority w:val="34"/>
    <w:qFormat/>
    <w:rsid w:val="0095667D"/>
    <w:pPr>
      <w:ind w:left="720"/>
      <w:contextualSpacing/>
    </w:pPr>
  </w:style>
  <w:style w:type="character" w:styleId="Wyrnienieintensywne">
    <w:name w:val="Intense Emphasis"/>
    <w:basedOn w:val="Domylnaczcionkaakapitu"/>
    <w:uiPriority w:val="21"/>
    <w:qFormat/>
    <w:rsid w:val="0095667D"/>
    <w:rPr>
      <w:i/>
      <w:iCs/>
      <w:color w:val="0F4761" w:themeColor="accent1" w:themeShade="BF"/>
    </w:rPr>
  </w:style>
  <w:style w:type="paragraph" w:styleId="Cytatintensywny">
    <w:name w:val="Intense Quote"/>
    <w:basedOn w:val="Normalny"/>
    <w:next w:val="Normalny"/>
    <w:link w:val="CytatintensywnyZnak"/>
    <w:uiPriority w:val="30"/>
    <w:qFormat/>
    <w:rsid w:val="009566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5667D"/>
    <w:rPr>
      <w:i/>
      <w:iCs/>
      <w:color w:val="0F4761" w:themeColor="accent1" w:themeShade="BF"/>
    </w:rPr>
  </w:style>
  <w:style w:type="character" w:styleId="Odwoanieintensywne">
    <w:name w:val="Intense Reference"/>
    <w:basedOn w:val="Domylnaczcionkaakapitu"/>
    <w:uiPriority w:val="32"/>
    <w:qFormat/>
    <w:rsid w:val="009566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435</Words>
  <Characters>2611</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 Walczak</dc:creator>
  <cp:keywords/>
  <dc:description/>
  <cp:lastModifiedBy>Izabela Kaźmierczak</cp:lastModifiedBy>
  <cp:revision>4</cp:revision>
  <dcterms:created xsi:type="dcterms:W3CDTF">2026-07-03T15:15:00Z</dcterms:created>
  <dcterms:modified xsi:type="dcterms:W3CDTF">2026-07-15T15:54:00Z</dcterms:modified>
</cp:coreProperties>
</file>