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F3864"/>
          <w:sz w:val="28"/>
        </w:rPr>
        <w:t>Supplementary Material</w:t>
      </w:r>
    </w:p>
    <w:p>
      <w:r>
        <w:rPr>
          <w:i/>
        </w:rPr>
        <w:t>The histopathological spectrum of 1,929 appendectomy specimens over 22 years in Palestine: a multi-branch descriptive audit</w:t>
      </w:r>
    </w:p>
    <w:p>
      <w:r>
        <w:rPr>
          <w:b/>
          <w:color w:val="1F3864"/>
          <w:sz w:val="24"/>
        </w:rPr>
        <w:t>Supplementary Table S1. Operational definitions of the diagnostic categories</w:t>
      </w:r>
    </w:p>
    <w:p>
      <w:r>
        <w:t>Each verbatim diagnosis recorded in the pathology archive was mapped to the structured reference taxonomy below and assigned to a single principal category. Where multiple findings coexisted, the highest-acuity or most clinically significant diagnosis determined the principal category, and the remaining findings were captured as the binary ancillary flags listed at the foot of the table.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2041"/>
            <w:shd w:val="clear" w:fill="1F3864"/>
          </w:tcPr>
          <w:p>
            <w:r>
              <w:rPr>
                <w:b/>
                <w:color w:val="FFFFFF"/>
                <w:sz w:val="19"/>
              </w:rPr>
              <w:t>Category</w:t>
            </w:r>
          </w:p>
        </w:tc>
        <w:tc>
          <w:tcPr>
            <w:tcW w:type="dxa" w:w="4082"/>
            <w:shd w:val="clear" w:fill="1F3864"/>
          </w:tcPr>
          <w:p>
            <w:r>
              <w:rPr>
                <w:b/>
                <w:color w:val="FFFFFF"/>
                <w:sz w:val="19"/>
              </w:rPr>
              <w:t>Operational definition</w:t>
            </w:r>
          </w:p>
        </w:tc>
        <w:tc>
          <w:tcPr>
            <w:tcW w:type="dxa" w:w="3515"/>
            <w:shd w:val="clear" w:fill="1F3864"/>
          </w:tcPr>
          <w:p>
            <w:r>
              <w:rPr>
                <w:b/>
                <w:color w:val="FFFFFF"/>
                <w:sz w:val="19"/>
              </w:rPr>
              <w:t>Handling in the analysis</w:t>
            </w:r>
          </w:p>
        </w:tc>
      </w:tr>
      <w:tr>
        <w:tc>
          <w:tcPr>
            <w:tcW w:type="dxa" w:w="2041"/>
          </w:tcPr>
          <w:p>
            <w:r>
              <w:rPr>
                <w:sz w:val="19"/>
              </w:rPr>
              <w:t>Acute appendicitis (uncomplicated)</w:t>
            </w:r>
          </w:p>
        </w:tc>
        <w:tc>
          <w:tcPr>
            <w:tcW w:type="dxa" w:w="4082"/>
          </w:tcPr>
          <w:p>
            <w:r>
              <w:rPr>
                <w:sz w:val="19"/>
              </w:rPr>
              <w:t>Active transmural or mucosal neutrophilic inflammation of the appendix without documented gangrene or perforation. Includes acute suppurative, acute catarrhal/early and acute phlegmonous appendicitis.</w:t>
            </w:r>
          </w:p>
        </w:tc>
        <w:tc>
          <w:tcPr>
            <w:tcW w:type="dxa" w:w="3515"/>
          </w:tcPr>
          <w:p>
            <w:r>
              <w:rPr>
                <w:sz w:val="19"/>
              </w:rPr>
              <w:t>Counted within the acute inflammatory group; forms the denominator for the acute complication rate.</w:t>
            </w:r>
          </w:p>
        </w:tc>
      </w:tr>
      <w:tr>
        <w:tc>
          <w:tcPr>
            <w:tcW w:type="dxa" w:w="2041"/>
          </w:tcPr>
          <w:p>
            <w:r>
              <w:rPr>
                <w:sz w:val="19"/>
              </w:rPr>
              <w:t>Acute appendicitis (complicated)</w:t>
            </w:r>
          </w:p>
        </w:tc>
        <w:tc>
          <w:tcPr>
            <w:tcW w:type="dxa" w:w="4082"/>
          </w:tcPr>
          <w:p>
            <w:r>
              <w:rPr>
                <w:sz w:val="19"/>
              </w:rPr>
              <w:t>Acute appendicitis in which the diagnostic report explicitly documents gangrene, transmural necrosis or perforation.</w:t>
            </w:r>
          </w:p>
        </w:tc>
        <w:tc>
          <w:tcPr>
            <w:tcW w:type="dxa" w:w="3515"/>
          </w:tcPr>
          <w:p>
            <w:r>
              <w:rPr>
                <w:sz w:val="19"/>
              </w:rPr>
              <w:t>Counted within the acute inflammatory group; numerator for the acute complication rate and for the Cochran-Armitage secular-trend test.</w:t>
            </w:r>
          </w:p>
        </w:tc>
      </w:tr>
      <w:tr>
        <w:tc>
          <w:tcPr>
            <w:tcW w:type="dxa" w:w="2041"/>
          </w:tcPr>
          <w:p>
            <w:r>
              <w:rPr>
                <w:sz w:val="19"/>
              </w:rPr>
              <w:t>Chronic / recurrent appendicitis</w:t>
            </w:r>
          </w:p>
        </w:tc>
        <w:tc>
          <w:tcPr>
            <w:tcW w:type="dxa" w:w="4082"/>
          </w:tcPr>
          <w:p>
            <w:r>
              <w:rPr>
                <w:sz w:val="19"/>
              </w:rPr>
              <w:t>Requires either an explicit transmural chronic inflammatory infiltrate or a stated clinical history of recurrent attacks. Fibrosis alone, in the absence of active or chronic inflammation, does not satisfy this definition.</w:t>
            </w:r>
          </w:p>
        </w:tc>
        <w:tc>
          <w:tcPr>
            <w:tcW w:type="dxa" w:w="3515"/>
          </w:tcPr>
          <w:p>
            <w:r>
              <w:rPr>
                <w:sz w:val="19"/>
              </w:rPr>
              <w:t>Reported as a separate category; not counted as a negative appendectomy.</w:t>
            </w:r>
          </w:p>
        </w:tc>
      </w:tr>
      <w:tr>
        <w:tc>
          <w:tcPr>
            <w:tcW w:type="dxa" w:w="2041"/>
          </w:tcPr>
          <w:p>
            <w:r>
              <w:rPr>
                <w:sz w:val="19"/>
              </w:rPr>
              <w:t>Normal / unremarkable</w:t>
            </w:r>
          </w:p>
        </w:tc>
        <w:tc>
          <w:tcPr>
            <w:tcW w:type="dxa" w:w="4082"/>
          </w:tcPr>
          <w:p>
            <w:r>
              <w:rPr>
                <w:sz w:val="19"/>
              </w:rPr>
              <w:t>Appendix without active inflammatory pathology. Comprises unremarkable (histologically normal) appendix, reactive lymphoid hyperplasia, non-specific findings and isolated eosinophilic change. Fibrous obliteration of the lumen (neurogenic appendicopathy) is placed here, because it is an incidental end-stage finding without active inflammation and does not represent chronic appendicitis.</w:t>
            </w:r>
          </w:p>
        </w:tc>
        <w:tc>
          <w:tcPr>
            <w:tcW w:type="dxa" w:w="3515"/>
          </w:tcPr>
          <w:p>
            <w:r>
              <w:rPr>
                <w:sz w:val="19"/>
              </w:rPr>
              <w:t>Constitutes the negative-appendectomy group used for the negative-appendectomy rate.</w:t>
            </w:r>
          </w:p>
        </w:tc>
      </w:tr>
      <w:tr>
        <w:tc>
          <w:tcPr>
            <w:tcW w:type="dxa" w:w="2041"/>
          </w:tcPr>
          <w:p>
            <w:r>
              <w:rPr>
                <w:sz w:val="19"/>
              </w:rPr>
              <w:t>Parasitic / infectious</w:t>
            </w:r>
          </w:p>
        </w:tc>
        <w:tc>
          <w:tcPr>
            <w:tcW w:type="dxa" w:w="4082"/>
          </w:tcPr>
          <w:p>
            <w:r>
              <w:rPr>
                <w:sz w:val="19"/>
              </w:rPr>
              <w:t>Identification of a parasitic organism (principally Enterobius vermicularis) or a specific infectious agent within the appendix, with or without concurrent acute inflammation.</w:t>
            </w:r>
          </w:p>
        </w:tc>
        <w:tc>
          <w:tcPr>
            <w:tcW w:type="dxa" w:w="3515"/>
          </w:tcPr>
          <w:p>
            <w:r>
              <w:rPr>
                <w:sz w:val="19"/>
              </w:rPr>
              <w:t>Reported separately; concurrent acute inflammation, where documented, is noted in the text.</w:t>
            </w:r>
          </w:p>
        </w:tc>
      </w:tr>
      <w:tr>
        <w:tc>
          <w:tcPr>
            <w:tcW w:type="dxa" w:w="2041"/>
          </w:tcPr>
          <w:p>
            <w:r>
              <w:rPr>
                <w:sz w:val="19"/>
              </w:rPr>
              <w:t>Pre-malignant / benign epithelial neoplasm (LAMN)</w:t>
            </w:r>
          </w:p>
        </w:tc>
        <w:tc>
          <w:tcPr>
            <w:tcW w:type="dxa" w:w="4082"/>
          </w:tcPr>
          <w:p>
            <w:r>
              <w:rPr>
                <w:sz w:val="19"/>
              </w:rPr>
              <w:t>Low-grade appendiceal mucinous neoplasm as defined by the PSOGI consensus and the fifth-edition WHO classification: a mucinous epithelial neoplasm with low-grade cytology and loss of the muscularis mucosae, pushing rather than infiltrative invasion.</w:t>
            </w:r>
          </w:p>
        </w:tc>
        <w:tc>
          <w:tcPr>
            <w:tcW w:type="dxa" w:w="3515"/>
          </w:tcPr>
          <w:p>
            <w:r>
              <w:rPr>
                <w:sz w:val="19"/>
              </w:rPr>
              <w:t>Counted within the incidental-neoplasia total.</w:t>
            </w:r>
          </w:p>
        </w:tc>
      </w:tr>
      <w:tr>
        <w:tc>
          <w:tcPr>
            <w:tcW w:type="dxa" w:w="2041"/>
          </w:tcPr>
          <w:p>
            <w:r>
              <w:rPr>
                <w:sz w:val="19"/>
              </w:rPr>
              <w:t>Malignant epithelial (adenocarcinoma)</w:t>
            </w:r>
          </w:p>
        </w:tc>
        <w:tc>
          <w:tcPr>
            <w:tcW w:type="dxa" w:w="4082"/>
          </w:tcPr>
          <w:p>
            <w:r>
              <w:rPr>
                <w:sz w:val="19"/>
              </w:rPr>
              <w:t>Invasive adenocarcinoma of appendiceal origin, subclassified as conventional (intestinal) type or mucinous adenocarcinoma. Requires confirmation on panel review that the appendix is the primary site.</w:t>
            </w:r>
          </w:p>
        </w:tc>
        <w:tc>
          <w:tcPr>
            <w:tcW w:type="dxa" w:w="3515"/>
          </w:tcPr>
          <w:p>
            <w:r>
              <w:rPr>
                <w:sz w:val="19"/>
              </w:rPr>
              <w:t>Counted within the incidental-neoplasia total.</w:t>
            </w:r>
          </w:p>
        </w:tc>
      </w:tr>
      <w:tr>
        <w:tc>
          <w:tcPr>
            <w:tcW w:type="dxa" w:w="2041"/>
          </w:tcPr>
          <w:p>
            <w:r>
              <w:rPr>
                <w:sz w:val="19"/>
              </w:rPr>
              <w:t>Neuroendocrine tumor (NET)</w:t>
            </w:r>
          </w:p>
        </w:tc>
        <w:tc>
          <w:tcPr>
            <w:tcW w:type="dxa" w:w="4082"/>
          </w:tcPr>
          <w:p>
            <w:r>
              <w:rPr>
                <w:sz w:val="19"/>
              </w:rPr>
              <w:t>Well-differentiated neuroendocrine tumor of the appendix, graded according to the fifth-edition WHO classification.</w:t>
            </w:r>
          </w:p>
        </w:tc>
        <w:tc>
          <w:tcPr>
            <w:tcW w:type="dxa" w:w="3515"/>
          </w:tcPr>
          <w:p>
            <w:r>
              <w:rPr>
                <w:sz w:val="19"/>
              </w:rPr>
              <w:t>Counted within the incidental-neoplasia total.</w:t>
            </w:r>
          </w:p>
        </w:tc>
      </w:tr>
      <w:tr>
        <w:tc>
          <w:tcPr>
            <w:tcW w:type="dxa" w:w="2041"/>
          </w:tcPr>
          <w:p>
            <w:r>
              <w:rPr>
                <w:sz w:val="19"/>
              </w:rPr>
              <w:t>Mesenchymal / other</w:t>
            </w:r>
          </w:p>
        </w:tc>
        <w:tc>
          <w:tcPr>
            <w:tcW w:type="dxa" w:w="4082"/>
          </w:tcPr>
          <w:p>
            <w:r>
              <w:rPr>
                <w:sz w:val="19"/>
              </w:rPr>
              <w:t>Non-epithelial and non-neuroendocrine lesions, principally leiomyoma, together with lesions not assignable to any other category.</w:t>
            </w:r>
          </w:p>
        </w:tc>
        <w:tc>
          <w:tcPr>
            <w:tcW w:type="dxa" w:w="3515"/>
          </w:tcPr>
          <w:p>
            <w:r>
              <w:rPr>
                <w:sz w:val="19"/>
              </w:rPr>
              <w:t>Reported separately; not counted within the incidental-neoplasia total.</w:t>
            </w:r>
          </w:p>
        </w:tc>
      </w:tr>
      <w:tr>
        <w:tc>
          <w:tcPr>
            <w:tcW w:type="dxa" w:w="2041"/>
          </w:tcPr>
          <w:p>
            <w:r>
              <w:rPr>
                <w:sz w:val="19"/>
              </w:rPr>
              <w:t>Mucocele / retention cyst (non-neoplastic)</w:t>
            </w:r>
          </w:p>
        </w:tc>
        <w:tc>
          <w:tcPr>
            <w:tcW w:type="dxa" w:w="4082"/>
          </w:tcPr>
          <w:p>
            <w:r>
              <w:rPr>
                <w:sz w:val="19"/>
              </w:rPr>
              <w:t>Luminal mucin accumulation with an attenuated, non-neoplastic epithelial lining and no evidence of a mucinous neoplasm.</w:t>
            </w:r>
          </w:p>
        </w:tc>
        <w:tc>
          <w:tcPr>
            <w:tcW w:type="dxa" w:w="3515"/>
          </w:tcPr>
          <w:p>
            <w:r>
              <w:rPr>
                <w:sz w:val="19"/>
              </w:rPr>
              <w:t>Tabulated separately and explicitly excluded from the incidental-neoplasia total.</w:t>
            </w:r>
          </w:p>
        </w:tc>
      </w:tr>
      <w:tr>
        <w:tc>
          <w:tcPr>
            <w:tcW w:type="dxa" w:w="2041"/>
          </w:tcPr>
          <w:p>
            <w:r>
              <w:rPr>
                <w:sz w:val="19"/>
              </w:rPr>
              <w:t>Hyperplastic polyp</w:t>
            </w:r>
          </w:p>
        </w:tc>
        <w:tc>
          <w:tcPr>
            <w:tcW w:type="dxa" w:w="4082"/>
          </w:tcPr>
          <w:p>
            <w:r>
              <w:rPr>
                <w:sz w:val="19"/>
              </w:rPr>
              <w:t>Serrated hyperplastic epithelial proliferation without cytological atypia or evidence of a mucinous neoplasm.</w:t>
            </w:r>
          </w:p>
        </w:tc>
        <w:tc>
          <w:tcPr>
            <w:tcW w:type="dxa" w:w="3515"/>
          </w:tcPr>
          <w:p>
            <w:r>
              <w:rPr>
                <w:sz w:val="19"/>
              </w:rPr>
              <w:t>Tabulated separately and explicitly excluded from the incidental-neoplasia total.</w:t>
            </w:r>
          </w:p>
        </w:tc>
      </w:tr>
    </w:tbl>
    <w:p/>
    <w:p>
      <w:r>
        <w:rPr>
          <w:i/>
          <w:sz w:val="19"/>
        </w:rPr>
        <w:t>Ancillary findings recorded as binary flags, independently of the principal category: periappendicitis, fecolith, perforation, gangrene, granuloma and ileal involvement.</w:t>
      </w:r>
    </w:p>
    <w:p>
      <w:r>
        <w:rPr>
          <w:i/>
          <w:sz w:val="19"/>
        </w:rPr>
        <w:t>Abbreviations: LAMN, low-grade appendiceal mucinous neoplasm; NET, neuroendocrine tumor; PSOGI, Peritoneal Surface Oncology Group International; WHO, World Health Organization.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