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widowControl w:val="false"/>
        <w:spacing w:lineRule="auto" w:line="240" w:before="200" w:after="200"/>
        <w:rPr/>
      </w:pPr>
      <w:bookmarkStart w:id="0" w:name="_r2ie0me0zo5p"/>
      <w:bookmarkEnd w:id="0"/>
      <w:r>
        <w:rPr/>
        <w:t>Supplementary information</w:t>
      </w:r>
    </w:p>
    <w:p>
      <w:pPr>
        <w:pStyle w:val="Normal1"/>
        <w:widowControl w:val="false"/>
        <w:spacing w:lineRule="auto" w:line="480" w:before="200" w:after="200"/>
        <w:jc w:val="both"/>
        <w:rPr>
          <w:rFonts w:ascii="Georgia" w:hAnsi="Georgia" w:eastAsia="Georgia" w:cs="Georgia"/>
        </w:rPr>
      </w:pPr>
      <w:r>
        <w:rPr>
          <w:rFonts w:eastAsia="Georgia" w:cs="Georgia" w:ascii="Georgia" w:hAnsi="Georgia"/>
          <w:b/>
          <w:bCs/>
        </w:rPr>
        <w:t>Supplementary Figure S1.</w:t>
      </w:r>
      <w:r>
        <w:rPr>
          <w:rFonts w:eastAsia="Georgia" w:cs="Georgia" w:ascii="Georgia" w:hAnsi="Georgia"/>
        </w:rPr>
        <w:t xml:space="preserve"> Scatter plots showing the number of protein domains (X axis) and the number of domain pairs (Y axis) for representative genomes across the three superkingdoms: Bacteria, Archaea, and Eukaryota. Each subplot corresponds to one superkingdom and data points are colored by phylum in Eukaryota and by supergroups in Bacteria and Archaea. In the Eukaryota panel, three distinct clusters are outlined: one comprising mainly unicellular eukaryotes and fungi, another including plants and simpler metazoans, and a third corresponding to higher metazoans.</w:t>
      </w:r>
    </w:p>
    <w:p>
      <w:pPr>
        <w:pStyle w:val="Normal1"/>
        <w:widowControl w:val="false"/>
        <w:spacing w:lineRule="auto" w:line="480" w:before="200" w:after="200"/>
        <w:jc w:val="both"/>
        <w:rPr>
          <w:rFonts w:ascii="Georgia" w:hAnsi="Georgia" w:eastAsia="Georgia" w:cs="Georgia"/>
        </w:rPr>
      </w:pPr>
      <w:r>
        <w:rPr>
          <w:rFonts w:eastAsia="Georgia" w:cs="Georgia" w:ascii="Georgia" w:hAnsi="Georgia"/>
          <w:b/>
          <w:bCs/>
        </w:rPr>
        <w:t>Supplementary Figure S2.</w:t>
      </w:r>
      <w:r>
        <w:rPr>
          <w:rFonts w:eastAsia="Georgia" w:cs="Georgia" w:ascii="Georgia" w:hAnsi="Georgia"/>
        </w:rPr>
        <w:t xml:space="preserve"> Collapsed maximum-likelihood tree inferred using IQ-TREE with the GTR2+FO+R10 binary substitution model, 1,000 ultrafast bootstrap replicates, and the -bnni option, using the domain-content matrix as input. Node labels indicate UFBoot support values.</w:t>
      </w:r>
    </w:p>
    <w:p>
      <w:pPr>
        <w:pStyle w:val="Normal1"/>
        <w:widowControl w:val="false"/>
        <w:spacing w:lineRule="auto" w:line="480" w:before="200" w:after="200"/>
        <w:jc w:val="both"/>
        <w:rPr>
          <w:rFonts w:ascii="Georgia" w:hAnsi="Georgia" w:eastAsia="Georgia" w:cs="Georgia"/>
        </w:rPr>
      </w:pPr>
      <w:r>
        <w:rPr>
          <w:rFonts w:eastAsia="Georgia" w:cs="Georgia" w:ascii="Georgia" w:hAnsi="Georgia"/>
          <w:b/>
          <w:bCs/>
        </w:rPr>
        <w:t>Supplementary Figure S3.</w:t>
      </w:r>
      <w:r>
        <w:rPr>
          <w:rFonts w:eastAsia="Georgia" w:cs="Georgia" w:ascii="Georgia" w:hAnsi="Georgia"/>
        </w:rPr>
        <w:t xml:space="preserve"> Collapsed maximum-likelihood tree inferred using IQ-TREE with the GTR2+FO+R10 binary substitution model, 1,000 ultrafast bootstrap replicates, and the -bnni option, using the combined domain-content and pair-content matrix as input. Node labels indicate UFBoot support values.</w:t>
      </w:r>
    </w:p>
    <w:p>
      <w:pPr>
        <w:pStyle w:val="Normal1"/>
        <w:widowControl w:val="false"/>
        <w:spacing w:lineRule="auto" w:line="480" w:before="200" w:after="200"/>
        <w:jc w:val="both"/>
        <w:rPr>
          <w:rFonts w:ascii="Georgia" w:hAnsi="Georgia" w:eastAsia="Georgia" w:cs="Georgia"/>
        </w:rPr>
      </w:pPr>
      <w:r>
        <w:rPr>
          <w:rFonts w:eastAsia="Georgia" w:cs="Georgia" w:ascii="Georgia" w:hAnsi="Georgia"/>
          <w:b/>
          <w:bCs/>
        </w:rPr>
        <w:t xml:space="preserve">Supplementary Figure S4. </w:t>
      </w:r>
      <w:r>
        <w:rPr>
          <w:rFonts w:eastAsia="Georgia" w:cs="Georgia" w:ascii="Georgia" w:hAnsi="Georgia"/>
        </w:rPr>
        <w:t>Performance comparison of domain-architecture encoding strategies. Comparison of trees inferred from three binary matrices: domain content, domain plus pair content, and the minimal-combination encoding combining uni-domain architectures with ordered adjacent domain pairs. A) Distribution of bootstrap support values, shown globally and separately for Bacteria, Archaea, and Eukaryota. B) Bootstrap support as a function of node depth, measured as distance from the root. C) Proportion of taxonomic groups recovered as monophyletic at class and phylum levels, shown globally and within each superkingdom. Together, these analyses were used to assess the relative behaviour of each encoding strategy in terms of branch support, depth-related stability, and recovery of expected taxonomic structure.</w:t>
      </w:r>
    </w:p>
    <w:p>
      <w:pPr>
        <w:pStyle w:val="Normal1"/>
        <w:widowControl w:val="false"/>
        <w:spacing w:lineRule="auto" w:line="480" w:before="200" w:after="200"/>
        <w:jc w:val="both"/>
        <w:rPr>
          <w:rFonts w:ascii="Georgia" w:hAnsi="Georgia" w:eastAsia="Georgia" w:cs="Georgia"/>
        </w:rPr>
      </w:pPr>
      <w:r>
        <w:rPr>
          <w:rFonts w:eastAsia="Georgia" w:cs="Georgia" w:ascii="Georgia" w:hAnsi="Georgia"/>
          <w:b/>
          <w:bCs/>
        </w:rPr>
        <w:t>Supplementary Figure S5.</w:t>
      </w:r>
      <w:r>
        <w:rPr>
          <w:rFonts w:eastAsia="Georgia" w:cs="Georgia" w:ascii="Georgia" w:hAnsi="Georgia"/>
        </w:rPr>
        <w:t xml:space="preserve"> Quantitative comparison of bacterial domain-based trees against the GTDB reference tree. Heatmap summarizing multiple tree-similarity metrics between the GTDB bacterial reference tree and bacterial subtrees inferred using different domain-architecture encodings: domain content, domain plus pair content, and the minimal-combination matrix. Metric values are shown within cells and colored by relative ranking across encodings, with green indicating higher congruence, yellow intermediate congruence, and red lower congruence. For distance-based metrics, lower values were ranked as higher congruence; for similarity-based metrics, higher values were ranked as higher congruence. The metrics include Robinson-Foulds distance, weighted Robinson-Foulds distance, matching split distance, information-theoretic measures, and clustering-based indices, capturing complementary aspects of global topology and local clustering similarity.</w:t>
      </w:r>
    </w:p>
    <w:p>
      <w:pPr>
        <w:pStyle w:val="Normal1"/>
        <w:widowControl w:val="false"/>
        <w:spacing w:lineRule="auto" w:line="480" w:before="200" w:after="200"/>
        <w:jc w:val="both"/>
        <w:rPr>
          <w:rFonts w:ascii="Georgia" w:hAnsi="Georgia" w:eastAsia="Georgia" w:cs="Georgia"/>
        </w:rPr>
      </w:pPr>
      <w:r>
        <w:rPr>
          <w:rFonts w:eastAsia="Georgia" w:cs="Georgia" w:ascii="Georgia" w:hAnsi="Georgia"/>
          <w:b/>
          <w:bCs/>
        </w:rPr>
        <w:t>Supplementary Figure S6.</w:t>
      </w:r>
      <w:r>
        <w:rPr>
          <w:rFonts w:eastAsia="Georgia" w:cs="Georgia" w:ascii="Georgia" w:hAnsi="Georgia"/>
        </w:rPr>
        <w:t xml:space="preserve"> Comparison of the full domain-combination tree and the Archaea–Eukaryota tree inferred without Bacteria. Left: full domain-combination tree. Right: maximum-likelihood tree inferred after removing Bacteria, using the minimal-combination matrix, the GTR2+FO+R10 binary model, 1,000 ultrafast bootstrap replicates, and the -bnni option.</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Georgia">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Songti SC" w:cs="Arial Unicode MS"/>
      <w:color w:val="auto"/>
      <w:kern w:val="2"/>
      <w:sz w:val="24"/>
      <w:szCs w:val="24"/>
      <w:lang w:val="en-US" w:eastAsia="zh-CN" w:bidi="hi-IN"/>
    </w:rPr>
  </w:style>
  <w:style w:type="paragraph" w:styleId="Heading1">
    <w:name w:val="Heading 1"/>
    <w:basedOn w:val="Normal1"/>
    <w:next w:val="Normal1"/>
    <w:qFormat/>
    <w:pPr>
      <w:keepNext w:val="true"/>
      <w:keepLines/>
      <w:spacing w:lineRule="auto" w:line="480" w:before="400" w:after="120"/>
      <w:jc w:val="both"/>
    </w:pPr>
    <w:rPr>
      <w:rFonts w:ascii="Georgia" w:hAnsi="Georgia" w:eastAsia="Georgia" w:cs="Georgia"/>
      <w:b/>
      <w:bCs/>
      <w:sz w:val="36"/>
      <w:szCs w:val="36"/>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Normal1">
    <w:name w:val="LO-normal"/>
    <w:qFormat/>
    <w:pPr>
      <w:widowControl/>
      <w:bidi w:val="0"/>
      <w:spacing w:lineRule="auto" w:line="276" w:before="0" w:after="0"/>
      <w:jc w:val="start"/>
    </w:pPr>
    <w:rPr>
      <w:rFonts w:ascii="Liberation Serif" w:hAnsi="Liberation Serif" w:eastAsia="Songti SC" w:cs="Arial Unicode MS"/>
      <w:color w:val="auto"/>
      <w:kern w:val="2"/>
      <w:sz w:val="24"/>
      <w:szCs w:val="24"/>
      <w:lang w:val="en-US"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LibreOffice/7.5.6.2$MacOSX_X86_64 LibreOffice_project/f654817fb68d6d4600d7d2f6b647e47729f55f15</Application>
  <AppVersion>15.0000</AppVersion>
  <Pages>2</Pages>
  <Words>427</Words>
  <Characters>2890</Characters>
  <CharactersWithSpaces>3309</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2026-08-14T11:55:37Z</dcterms:created>
  <dc:creator/>
  <dc:description/>
  <dc:language>en-US</dc:language>
  <cp:lastModifiedBy/>
  <dcterms:modified xsi:type="dcterms:W3CDTF">2026-08-14T11:55:57Z</dcterms:modified>
  <cp:revision>1</cp:revision>
  <dc:subject/>
  <dc:title/>
</cp:coreProperties>
</file>