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7575E6" w14:textId="77777777" w:rsidR="00823980" w:rsidRPr="00823980" w:rsidRDefault="00823980" w:rsidP="00823980">
      <w:pPr>
        <w:spacing w:before="100" w:beforeAutospacing="1" w:after="100" w:afterAutospacing="1"/>
        <w:outlineLvl w:val="0"/>
        <w:rPr>
          <w:rFonts w:ascii="Times New Roman" w:eastAsia="Times New Roman" w:hAnsi="Times New Roman" w:cs="Times New Roman"/>
          <w:kern w:val="36"/>
          <w:lang w:eastAsia="cs-CZ"/>
          <w14:ligatures w14:val="none"/>
        </w:rPr>
      </w:pPr>
      <w:r w:rsidRPr="00823980">
        <w:rPr>
          <w:rFonts w:ascii="Times New Roman" w:eastAsia="Times New Roman" w:hAnsi="Times New Roman" w:cs="Times New Roman"/>
          <w:kern w:val="36"/>
          <w:lang w:eastAsia="cs-CZ"/>
          <w14:ligatures w14:val="none"/>
        </w:rPr>
        <w:t>Supplementary Material</w:t>
      </w:r>
    </w:p>
    <w:p w14:paraId="2938B240" w14:textId="77777777" w:rsidR="00823980" w:rsidRPr="00823980" w:rsidRDefault="00823980" w:rsidP="00823980">
      <w:pPr>
        <w:spacing w:before="100" w:beforeAutospacing="1" w:after="100" w:afterAutospacing="1"/>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Dietary Protein Density Is Inversely Associated with Energy Intake in Free-Living Adults</w:t>
      </w:r>
    </w:p>
    <w:p w14:paraId="7F1B15D7" w14:textId="77777777" w:rsidR="00823980" w:rsidRPr="00823980" w:rsidRDefault="00823980" w:rsidP="00823980">
      <w:pPr>
        <w:spacing w:before="100" w:beforeAutospacing="1" w:after="100" w:afterAutospacing="1"/>
        <w:outlineLvl w:val="1"/>
        <w:rPr>
          <w:rFonts w:ascii="Times New Roman" w:eastAsia="Times New Roman" w:hAnsi="Times New Roman" w:cs="Times New Roman"/>
          <w:b/>
          <w:bCs/>
          <w:kern w:val="0"/>
          <w:lang w:eastAsia="cs-CZ"/>
          <w14:ligatures w14:val="none"/>
        </w:rPr>
      </w:pPr>
      <w:r w:rsidRPr="00823980">
        <w:rPr>
          <w:rFonts w:ascii="Times New Roman" w:eastAsia="Times New Roman" w:hAnsi="Times New Roman" w:cs="Times New Roman"/>
          <w:b/>
          <w:bCs/>
          <w:kern w:val="0"/>
          <w:lang w:eastAsia="cs-CZ"/>
          <w14:ligatures w14:val="none"/>
        </w:rPr>
        <w:t>Supplementary Table S1. Non-linearity and effect modification in the association between dietary protein density and total energy intake</w:t>
      </w:r>
    </w:p>
    <w:p w14:paraId="4D21DC14" w14:textId="77777777" w:rsidR="00823980" w:rsidRPr="00823980" w:rsidRDefault="00823980" w:rsidP="00823980">
      <w:pPr>
        <w:spacing w:before="100" w:beforeAutospacing="1" w:after="100" w:afterAutospacing="1"/>
        <w:outlineLvl w:val="2"/>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Panel A. Extended model including non-linearity and age interaction</w:t>
      </w:r>
    </w:p>
    <w:tbl>
      <w:tblPr>
        <w:tblStyle w:val="Mkatabulky"/>
        <w:tblW w:w="0" w:type="auto"/>
        <w:tblLook w:val="04A0" w:firstRow="1" w:lastRow="0" w:firstColumn="1" w:lastColumn="0" w:noHBand="0" w:noVBand="1"/>
      </w:tblPr>
      <w:tblGrid>
        <w:gridCol w:w="3034"/>
        <w:gridCol w:w="1943"/>
        <w:gridCol w:w="2114"/>
        <w:gridCol w:w="936"/>
      </w:tblGrid>
      <w:tr w:rsidR="00823980" w:rsidRPr="00823980" w14:paraId="5AC4B28D" w14:textId="77777777" w:rsidTr="00823980">
        <w:tc>
          <w:tcPr>
            <w:tcW w:w="0" w:type="auto"/>
            <w:hideMark/>
          </w:tcPr>
          <w:p w14:paraId="2704D896"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Predictor</w:t>
            </w:r>
          </w:p>
        </w:tc>
        <w:tc>
          <w:tcPr>
            <w:tcW w:w="0" w:type="auto"/>
            <w:hideMark/>
          </w:tcPr>
          <w:p w14:paraId="7FF5CCDA"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Unstandardized B</w:t>
            </w:r>
          </w:p>
        </w:tc>
        <w:tc>
          <w:tcPr>
            <w:tcW w:w="0" w:type="auto"/>
            <w:hideMark/>
          </w:tcPr>
          <w:p w14:paraId="13C0C9A6"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95% CI</w:t>
            </w:r>
          </w:p>
        </w:tc>
        <w:tc>
          <w:tcPr>
            <w:tcW w:w="0" w:type="auto"/>
            <w:hideMark/>
          </w:tcPr>
          <w:p w14:paraId="6604A1EB"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p-value</w:t>
            </w:r>
          </w:p>
        </w:tc>
      </w:tr>
      <w:tr w:rsidR="00823980" w:rsidRPr="00823980" w14:paraId="4634069F" w14:textId="77777777" w:rsidTr="00823980">
        <w:tc>
          <w:tcPr>
            <w:tcW w:w="0" w:type="auto"/>
            <w:hideMark/>
          </w:tcPr>
          <w:p w14:paraId="4702A091"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Protein %E, mean-centered</w:t>
            </w:r>
          </w:p>
        </w:tc>
        <w:tc>
          <w:tcPr>
            <w:tcW w:w="0" w:type="auto"/>
            <w:hideMark/>
          </w:tcPr>
          <w:p w14:paraId="4AD6B03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−72.09</w:t>
            </w:r>
          </w:p>
        </w:tc>
        <w:tc>
          <w:tcPr>
            <w:tcW w:w="0" w:type="auto"/>
            <w:hideMark/>
          </w:tcPr>
          <w:p w14:paraId="29342500"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−107.50 to −36.69</w:t>
            </w:r>
          </w:p>
        </w:tc>
        <w:tc>
          <w:tcPr>
            <w:tcW w:w="0" w:type="auto"/>
            <w:hideMark/>
          </w:tcPr>
          <w:p w14:paraId="507C28B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r>
      <w:tr w:rsidR="00823980" w:rsidRPr="00823980" w14:paraId="78968109" w14:textId="77777777" w:rsidTr="00823980">
        <w:tc>
          <w:tcPr>
            <w:tcW w:w="0" w:type="auto"/>
            <w:hideMark/>
          </w:tcPr>
          <w:p w14:paraId="54EED66E" w14:textId="1ED2A944" w:rsidR="00823980" w:rsidRPr="00823980" w:rsidRDefault="002F5B3A" w:rsidP="00823980">
            <w:pPr>
              <w:rPr>
                <w:rFonts w:ascii="Times New Roman" w:eastAsia="Times New Roman" w:hAnsi="Times New Roman" w:cs="Times New Roman"/>
                <w:kern w:val="0"/>
                <w:lang w:eastAsia="cs-CZ"/>
                <w14:ligatures w14:val="none"/>
              </w:rPr>
            </w:pPr>
            <w:r w:rsidRPr="002F5B3A">
              <w:rPr>
                <w:rFonts w:ascii="Times New Roman" w:eastAsia="Times New Roman" w:hAnsi="Times New Roman" w:cs="Times New Roman"/>
                <w:kern w:val="0"/>
                <w:lang w:eastAsia="cs-CZ"/>
                <w14:ligatures w14:val="none"/>
              </w:rPr>
              <w:t>(Mean-centered protein %E)²</w:t>
            </w:r>
          </w:p>
        </w:tc>
        <w:tc>
          <w:tcPr>
            <w:tcW w:w="0" w:type="auto"/>
            <w:hideMark/>
          </w:tcPr>
          <w:p w14:paraId="69A51D8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9.81</w:t>
            </w:r>
          </w:p>
        </w:tc>
        <w:tc>
          <w:tcPr>
            <w:tcW w:w="0" w:type="auto"/>
            <w:hideMark/>
          </w:tcPr>
          <w:p w14:paraId="7E6B2054"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1.01 to 18.60</w:t>
            </w:r>
          </w:p>
        </w:tc>
        <w:tc>
          <w:tcPr>
            <w:tcW w:w="0" w:type="auto"/>
            <w:hideMark/>
          </w:tcPr>
          <w:p w14:paraId="6EC4379D"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0.029</w:t>
            </w:r>
          </w:p>
        </w:tc>
      </w:tr>
      <w:tr w:rsidR="00823980" w:rsidRPr="00823980" w14:paraId="0E564C8D" w14:textId="77777777" w:rsidTr="00823980">
        <w:tc>
          <w:tcPr>
            <w:tcW w:w="0" w:type="auto"/>
            <w:hideMark/>
          </w:tcPr>
          <w:p w14:paraId="40E131F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Age, mean-centered</w:t>
            </w:r>
          </w:p>
        </w:tc>
        <w:tc>
          <w:tcPr>
            <w:tcW w:w="0" w:type="auto"/>
            <w:hideMark/>
          </w:tcPr>
          <w:p w14:paraId="1A47197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−11.12</w:t>
            </w:r>
          </w:p>
        </w:tc>
        <w:tc>
          <w:tcPr>
            <w:tcW w:w="0" w:type="auto"/>
            <w:hideMark/>
          </w:tcPr>
          <w:p w14:paraId="34A8B54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−17.58 to −4.67</w:t>
            </w:r>
          </w:p>
        </w:tc>
        <w:tc>
          <w:tcPr>
            <w:tcW w:w="0" w:type="auto"/>
            <w:hideMark/>
          </w:tcPr>
          <w:p w14:paraId="474071B0"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r>
      <w:tr w:rsidR="00823980" w:rsidRPr="00823980" w14:paraId="6839BF07" w14:textId="77777777" w:rsidTr="00823980">
        <w:tc>
          <w:tcPr>
            <w:tcW w:w="0" w:type="auto"/>
            <w:hideMark/>
          </w:tcPr>
          <w:p w14:paraId="1FC36802"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Women vs. men</w:t>
            </w:r>
          </w:p>
        </w:tc>
        <w:tc>
          <w:tcPr>
            <w:tcW w:w="0" w:type="auto"/>
            <w:hideMark/>
          </w:tcPr>
          <w:p w14:paraId="2679E3B4"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−488.84</w:t>
            </w:r>
          </w:p>
        </w:tc>
        <w:tc>
          <w:tcPr>
            <w:tcW w:w="0" w:type="auto"/>
            <w:hideMark/>
          </w:tcPr>
          <w:p w14:paraId="2D21351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−674.49 to −303.19</w:t>
            </w:r>
          </w:p>
        </w:tc>
        <w:tc>
          <w:tcPr>
            <w:tcW w:w="0" w:type="auto"/>
            <w:hideMark/>
          </w:tcPr>
          <w:p w14:paraId="6DFEEF93"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r>
      <w:tr w:rsidR="00823980" w:rsidRPr="00823980" w14:paraId="3B72B42C" w14:textId="77777777" w:rsidTr="00823980">
        <w:tc>
          <w:tcPr>
            <w:tcW w:w="0" w:type="auto"/>
            <w:hideMark/>
          </w:tcPr>
          <w:p w14:paraId="0A626DA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Protein %E × age</w:t>
            </w:r>
          </w:p>
        </w:tc>
        <w:tc>
          <w:tcPr>
            <w:tcW w:w="0" w:type="auto"/>
            <w:hideMark/>
          </w:tcPr>
          <w:p w14:paraId="7D1547AD"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−2.29</w:t>
            </w:r>
          </w:p>
        </w:tc>
        <w:tc>
          <w:tcPr>
            <w:tcW w:w="0" w:type="auto"/>
            <w:hideMark/>
          </w:tcPr>
          <w:p w14:paraId="346BB7E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−4.50 to −0.07</w:t>
            </w:r>
          </w:p>
        </w:tc>
        <w:tc>
          <w:tcPr>
            <w:tcW w:w="0" w:type="auto"/>
            <w:hideMark/>
          </w:tcPr>
          <w:p w14:paraId="237ADCBB"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0.043</w:t>
            </w:r>
          </w:p>
        </w:tc>
      </w:tr>
    </w:tbl>
    <w:p w14:paraId="3A76C557" w14:textId="77777777" w:rsidR="00823980" w:rsidRPr="00823980" w:rsidRDefault="00823980" w:rsidP="00823980">
      <w:pPr>
        <w:spacing w:before="100" w:beforeAutospacing="1" w:after="100" w:afterAutospacing="1"/>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i/>
          <w:iCs/>
          <w:kern w:val="0"/>
          <w:lang w:eastAsia="cs-CZ"/>
          <w14:ligatures w14:val="none"/>
        </w:rPr>
        <w:t>Model R² = 0.275; adjusted R² = 0.254; F(5,173) = 13.13, p &lt; 0.001; N = 179. Addition of the quadratic protein term and protein %E × age interaction improved model fit relative to the primary model (ΔR² = 0.038; F change(2,173) = 4.58; p = 0.012). Continuous variables were mean-centered before calculation of quadratic and interaction terms.</w:t>
      </w:r>
    </w:p>
    <w:p w14:paraId="797D6DC6" w14:textId="77777777" w:rsidR="00823980" w:rsidRPr="00823980" w:rsidRDefault="00823980" w:rsidP="00823980">
      <w:pPr>
        <w:spacing w:before="100" w:beforeAutospacing="1" w:after="100" w:afterAutospacing="1"/>
        <w:outlineLvl w:val="2"/>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Panel B. Effect modification by sex</w:t>
      </w:r>
    </w:p>
    <w:tbl>
      <w:tblPr>
        <w:tblStyle w:val="Mkatabulky"/>
        <w:tblW w:w="0" w:type="auto"/>
        <w:tblLook w:val="04A0" w:firstRow="1" w:lastRow="0" w:firstColumn="1" w:lastColumn="0" w:noHBand="0" w:noVBand="1"/>
      </w:tblPr>
      <w:tblGrid>
        <w:gridCol w:w="1892"/>
        <w:gridCol w:w="1943"/>
        <w:gridCol w:w="1859"/>
        <w:gridCol w:w="936"/>
        <w:gridCol w:w="756"/>
      </w:tblGrid>
      <w:tr w:rsidR="00823980" w:rsidRPr="00823980" w14:paraId="0B541101" w14:textId="77777777" w:rsidTr="00823980">
        <w:tc>
          <w:tcPr>
            <w:tcW w:w="0" w:type="auto"/>
            <w:hideMark/>
          </w:tcPr>
          <w:p w14:paraId="5BE93698"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Interaction term</w:t>
            </w:r>
          </w:p>
        </w:tc>
        <w:tc>
          <w:tcPr>
            <w:tcW w:w="0" w:type="auto"/>
            <w:hideMark/>
          </w:tcPr>
          <w:p w14:paraId="1CE05431"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Unstandardized B</w:t>
            </w:r>
          </w:p>
        </w:tc>
        <w:tc>
          <w:tcPr>
            <w:tcW w:w="0" w:type="auto"/>
            <w:hideMark/>
          </w:tcPr>
          <w:p w14:paraId="650A8FA6"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95% CI</w:t>
            </w:r>
          </w:p>
        </w:tc>
        <w:tc>
          <w:tcPr>
            <w:tcW w:w="0" w:type="auto"/>
            <w:hideMark/>
          </w:tcPr>
          <w:p w14:paraId="6135C7D1"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p-value</w:t>
            </w:r>
          </w:p>
        </w:tc>
        <w:tc>
          <w:tcPr>
            <w:tcW w:w="0" w:type="auto"/>
            <w:hideMark/>
          </w:tcPr>
          <w:p w14:paraId="673F8812"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ΔR²</w:t>
            </w:r>
          </w:p>
        </w:tc>
      </w:tr>
      <w:tr w:rsidR="00823980" w:rsidRPr="00823980" w14:paraId="68F070B8" w14:textId="77777777" w:rsidTr="00823980">
        <w:tc>
          <w:tcPr>
            <w:tcW w:w="0" w:type="auto"/>
            <w:hideMark/>
          </w:tcPr>
          <w:p w14:paraId="331D0D82"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Protein %E × sex</w:t>
            </w:r>
          </w:p>
        </w:tc>
        <w:tc>
          <w:tcPr>
            <w:tcW w:w="0" w:type="auto"/>
            <w:hideMark/>
          </w:tcPr>
          <w:p w14:paraId="7C9C0C44"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−55.38</w:t>
            </w:r>
          </w:p>
        </w:tc>
        <w:tc>
          <w:tcPr>
            <w:tcW w:w="0" w:type="auto"/>
            <w:hideMark/>
          </w:tcPr>
          <w:p w14:paraId="098F76F5"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−124.82 to 14.07</w:t>
            </w:r>
          </w:p>
        </w:tc>
        <w:tc>
          <w:tcPr>
            <w:tcW w:w="0" w:type="auto"/>
            <w:hideMark/>
          </w:tcPr>
          <w:p w14:paraId="5FD337D8"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0.117</w:t>
            </w:r>
          </w:p>
        </w:tc>
        <w:tc>
          <w:tcPr>
            <w:tcW w:w="0" w:type="auto"/>
            <w:hideMark/>
          </w:tcPr>
          <w:p w14:paraId="45124511"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0.011</w:t>
            </w:r>
          </w:p>
        </w:tc>
      </w:tr>
    </w:tbl>
    <w:p w14:paraId="6433033D" w14:textId="77777777" w:rsidR="00485249" w:rsidRDefault="00485249" w:rsidP="00823980">
      <w:pPr>
        <w:spacing w:before="100" w:beforeAutospacing="1" w:after="100" w:afterAutospacing="1"/>
        <w:outlineLvl w:val="1"/>
        <w:rPr>
          <w:rFonts w:ascii="Times New Roman" w:eastAsia="Times New Roman" w:hAnsi="Times New Roman" w:cs="Times New Roman"/>
          <w:i/>
          <w:iCs/>
          <w:kern w:val="0"/>
          <w:lang w:eastAsia="cs-CZ"/>
          <w14:ligatures w14:val="none"/>
        </w:rPr>
      </w:pPr>
      <w:r w:rsidRPr="00485249">
        <w:rPr>
          <w:rFonts w:ascii="Times New Roman" w:eastAsia="Times New Roman" w:hAnsi="Times New Roman" w:cs="Times New Roman"/>
          <w:i/>
          <w:iCs/>
          <w:kern w:val="0"/>
          <w:lang w:eastAsia="cs-CZ"/>
          <w14:ligatures w14:val="none"/>
        </w:rPr>
        <w:t>The model included mean-centered protein %E, age, sex, and the protein %E × sex interaction term. The interaction did not significantly improve model fit (F change(1,174) = 2.48; p = 0.117). N = 179.</w:t>
      </w:r>
    </w:p>
    <w:p w14:paraId="731C5DB8" w14:textId="02071165" w:rsidR="00823980" w:rsidRPr="00823980" w:rsidRDefault="00823980" w:rsidP="00823980">
      <w:pPr>
        <w:spacing w:before="100" w:beforeAutospacing="1" w:after="100" w:afterAutospacing="1"/>
        <w:outlineLvl w:val="1"/>
        <w:rPr>
          <w:rFonts w:ascii="Times New Roman" w:eastAsia="Times New Roman" w:hAnsi="Times New Roman" w:cs="Times New Roman"/>
          <w:b/>
          <w:bCs/>
          <w:kern w:val="0"/>
          <w:lang w:eastAsia="cs-CZ"/>
          <w14:ligatures w14:val="none"/>
        </w:rPr>
      </w:pPr>
      <w:r w:rsidRPr="00823980">
        <w:rPr>
          <w:rFonts w:ascii="Times New Roman" w:eastAsia="Times New Roman" w:hAnsi="Times New Roman" w:cs="Times New Roman"/>
          <w:b/>
          <w:bCs/>
          <w:kern w:val="0"/>
          <w:lang w:eastAsia="cs-CZ"/>
          <w14:ligatures w14:val="none"/>
        </w:rPr>
        <w:t>Supplementary Table S2. Theory-driven power-function analysis of protein leverage</w:t>
      </w:r>
    </w:p>
    <w:tbl>
      <w:tblPr>
        <w:tblStyle w:val="Mkatabulky"/>
        <w:tblW w:w="0" w:type="auto"/>
        <w:tblLook w:val="04A0" w:firstRow="1" w:lastRow="0" w:firstColumn="1" w:lastColumn="0" w:noHBand="0" w:noVBand="1"/>
      </w:tblPr>
      <w:tblGrid>
        <w:gridCol w:w="3018"/>
        <w:gridCol w:w="1832"/>
        <w:gridCol w:w="1331"/>
        <w:gridCol w:w="912"/>
        <w:gridCol w:w="756"/>
        <w:gridCol w:w="1213"/>
      </w:tblGrid>
      <w:tr w:rsidR="00823980" w:rsidRPr="00823980" w14:paraId="604E62F2" w14:textId="77777777" w:rsidTr="00823980">
        <w:tc>
          <w:tcPr>
            <w:tcW w:w="0" w:type="auto"/>
            <w:hideMark/>
          </w:tcPr>
          <w:p w14:paraId="224449EA"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Model</w:t>
            </w:r>
          </w:p>
        </w:tc>
        <w:tc>
          <w:tcPr>
            <w:tcW w:w="0" w:type="auto"/>
            <w:hideMark/>
          </w:tcPr>
          <w:p w14:paraId="30D46967"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Leverage coefficient (L)</w:t>
            </w:r>
          </w:p>
        </w:tc>
        <w:tc>
          <w:tcPr>
            <w:tcW w:w="0" w:type="auto"/>
            <w:hideMark/>
          </w:tcPr>
          <w:p w14:paraId="5FDC74A0"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95% CI</w:t>
            </w:r>
          </w:p>
        </w:tc>
        <w:tc>
          <w:tcPr>
            <w:tcW w:w="0" w:type="auto"/>
            <w:hideMark/>
          </w:tcPr>
          <w:p w14:paraId="277300A8"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p-value</w:t>
            </w:r>
          </w:p>
        </w:tc>
        <w:tc>
          <w:tcPr>
            <w:tcW w:w="0" w:type="auto"/>
            <w:hideMark/>
          </w:tcPr>
          <w:p w14:paraId="01ED0168"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R²</w:t>
            </w:r>
          </w:p>
        </w:tc>
        <w:tc>
          <w:tcPr>
            <w:tcW w:w="0" w:type="auto"/>
            <w:hideMark/>
          </w:tcPr>
          <w:p w14:paraId="7C5B941F"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Adjusted R²</w:t>
            </w:r>
          </w:p>
        </w:tc>
      </w:tr>
      <w:tr w:rsidR="00823980" w:rsidRPr="00823980" w14:paraId="59E4781F" w14:textId="77777777" w:rsidTr="00823980">
        <w:tc>
          <w:tcPr>
            <w:tcW w:w="0" w:type="auto"/>
            <w:hideMark/>
          </w:tcPr>
          <w:p w14:paraId="3A36CE15"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Model 1: adjusted for age and sex</w:t>
            </w:r>
          </w:p>
        </w:tc>
        <w:tc>
          <w:tcPr>
            <w:tcW w:w="0" w:type="auto"/>
            <w:hideMark/>
          </w:tcPr>
          <w:p w14:paraId="638CD23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−0.456</w:t>
            </w:r>
          </w:p>
        </w:tc>
        <w:tc>
          <w:tcPr>
            <w:tcW w:w="0" w:type="auto"/>
            <w:hideMark/>
          </w:tcPr>
          <w:p w14:paraId="2C6A93D4"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−0.684 to −0.229</w:t>
            </w:r>
          </w:p>
        </w:tc>
        <w:tc>
          <w:tcPr>
            <w:tcW w:w="0" w:type="auto"/>
            <w:hideMark/>
          </w:tcPr>
          <w:p w14:paraId="0FB5F6CC"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c>
          <w:tcPr>
            <w:tcW w:w="0" w:type="auto"/>
            <w:hideMark/>
          </w:tcPr>
          <w:p w14:paraId="52C9AE39"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0.280</w:t>
            </w:r>
          </w:p>
        </w:tc>
        <w:tc>
          <w:tcPr>
            <w:tcW w:w="0" w:type="auto"/>
            <w:hideMark/>
          </w:tcPr>
          <w:p w14:paraId="1E2DB0CD"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0.268</w:t>
            </w:r>
          </w:p>
        </w:tc>
      </w:tr>
      <w:tr w:rsidR="00823980" w:rsidRPr="00823980" w14:paraId="5591B06D" w14:textId="77777777" w:rsidTr="00823980">
        <w:tc>
          <w:tcPr>
            <w:tcW w:w="0" w:type="auto"/>
            <w:hideMark/>
          </w:tcPr>
          <w:p w14:paraId="2CE11A53"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Model 2: additionally adjusted for estimated BMR</w:t>
            </w:r>
          </w:p>
        </w:tc>
        <w:tc>
          <w:tcPr>
            <w:tcW w:w="0" w:type="auto"/>
            <w:hideMark/>
          </w:tcPr>
          <w:p w14:paraId="52BBAC8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−0.509</w:t>
            </w:r>
          </w:p>
        </w:tc>
        <w:tc>
          <w:tcPr>
            <w:tcW w:w="0" w:type="auto"/>
            <w:hideMark/>
          </w:tcPr>
          <w:p w14:paraId="04D7AB9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−0.733 to −0.284</w:t>
            </w:r>
          </w:p>
        </w:tc>
        <w:tc>
          <w:tcPr>
            <w:tcW w:w="0" w:type="auto"/>
            <w:hideMark/>
          </w:tcPr>
          <w:p w14:paraId="60DE77D3"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c>
          <w:tcPr>
            <w:tcW w:w="0" w:type="auto"/>
            <w:hideMark/>
          </w:tcPr>
          <w:p w14:paraId="51A7CDC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0.318</w:t>
            </w:r>
          </w:p>
        </w:tc>
        <w:tc>
          <w:tcPr>
            <w:tcW w:w="0" w:type="auto"/>
            <w:hideMark/>
          </w:tcPr>
          <w:p w14:paraId="2D8EAD0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0.303</w:t>
            </w:r>
          </w:p>
        </w:tc>
      </w:tr>
    </w:tbl>
    <w:p w14:paraId="512A243B" w14:textId="77777777" w:rsidR="00823980" w:rsidRPr="00823980" w:rsidRDefault="00823980" w:rsidP="00823980">
      <w:pPr>
        <w:spacing w:before="100" w:beforeAutospacing="1" w:after="100" w:afterAutospacing="1"/>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i/>
          <w:iCs/>
          <w:kern w:val="0"/>
          <w:lang w:eastAsia="cs-CZ"/>
          <w14:ligatures w14:val="none"/>
        </w:rPr>
        <w:t>Total energy intake (TEI) and the proportional contribution of protein to dietary energy (p; protein %E divided by 100) were natural-log transformed. The leverage coefficient (L) was estimated from the model ln(TEI) = α + L × ln(p) + covariates. Model 1: F(3,175) = 22.72, p &lt; 0.001. Model 2: F(4,174) = 20.30, p &lt; 0.001. Addition of estimated BMR improved model fit (ΔR² = 0.038; F change(1,174) = 9.67; p = 0.002). Negative values of L between −1 and 0 are consistent with partial protein leverage within the theoretical framework. N = 179.</w:t>
      </w:r>
    </w:p>
    <w:p w14:paraId="58BCD515" w14:textId="57C50DD2" w:rsidR="00823980" w:rsidRPr="00823980" w:rsidRDefault="00823980" w:rsidP="00823980">
      <w:pPr>
        <w:rPr>
          <w:rFonts w:ascii="Times New Roman" w:eastAsia="Times New Roman" w:hAnsi="Times New Roman" w:cs="Times New Roman"/>
          <w:kern w:val="0"/>
          <w:lang w:eastAsia="cs-CZ"/>
          <w14:ligatures w14:val="none"/>
        </w:rPr>
      </w:pPr>
    </w:p>
    <w:p w14:paraId="5F4764D0" w14:textId="77777777" w:rsidR="00823980" w:rsidRPr="00823980" w:rsidRDefault="00823980" w:rsidP="00823980">
      <w:pPr>
        <w:spacing w:before="100" w:beforeAutospacing="1" w:after="100" w:afterAutospacing="1"/>
        <w:outlineLvl w:val="1"/>
        <w:rPr>
          <w:rFonts w:ascii="Times New Roman" w:eastAsia="Times New Roman" w:hAnsi="Times New Roman" w:cs="Times New Roman"/>
          <w:b/>
          <w:bCs/>
          <w:kern w:val="0"/>
          <w:lang w:eastAsia="cs-CZ"/>
          <w14:ligatures w14:val="none"/>
        </w:rPr>
      </w:pPr>
      <w:r w:rsidRPr="00823980">
        <w:rPr>
          <w:rFonts w:ascii="Times New Roman" w:eastAsia="Times New Roman" w:hAnsi="Times New Roman" w:cs="Times New Roman"/>
          <w:b/>
          <w:bCs/>
          <w:kern w:val="0"/>
          <w:lang w:eastAsia="cs-CZ"/>
          <w14:ligatures w14:val="none"/>
        </w:rPr>
        <w:t>Supplementary Table S3. Sensitivity analyses of the association between dietary protein density and total energy intake</w:t>
      </w:r>
    </w:p>
    <w:tbl>
      <w:tblPr>
        <w:tblStyle w:val="Mkatabulky"/>
        <w:tblW w:w="0" w:type="auto"/>
        <w:tblLook w:val="04A0" w:firstRow="1" w:lastRow="0" w:firstColumn="1" w:lastColumn="0" w:noHBand="0" w:noVBand="1"/>
      </w:tblPr>
      <w:tblGrid>
        <w:gridCol w:w="3986"/>
        <w:gridCol w:w="576"/>
        <w:gridCol w:w="2016"/>
        <w:gridCol w:w="1562"/>
        <w:gridCol w:w="922"/>
      </w:tblGrid>
      <w:tr w:rsidR="00823980" w:rsidRPr="00823980" w14:paraId="19387CED" w14:textId="77777777" w:rsidTr="00823980">
        <w:tc>
          <w:tcPr>
            <w:tcW w:w="0" w:type="auto"/>
            <w:hideMark/>
          </w:tcPr>
          <w:p w14:paraId="50F365C4"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lastRenderedPageBreak/>
              <w:t>Analysis</w:t>
            </w:r>
          </w:p>
        </w:tc>
        <w:tc>
          <w:tcPr>
            <w:tcW w:w="0" w:type="auto"/>
            <w:hideMark/>
          </w:tcPr>
          <w:p w14:paraId="2493E0C1"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N</w:t>
            </w:r>
          </w:p>
        </w:tc>
        <w:tc>
          <w:tcPr>
            <w:tcW w:w="0" w:type="auto"/>
            <w:hideMark/>
          </w:tcPr>
          <w:p w14:paraId="582209B4"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Protein coefficient (B)</w:t>
            </w:r>
          </w:p>
        </w:tc>
        <w:tc>
          <w:tcPr>
            <w:tcW w:w="0" w:type="auto"/>
            <w:hideMark/>
          </w:tcPr>
          <w:p w14:paraId="2CDB2412"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95% CI</w:t>
            </w:r>
          </w:p>
        </w:tc>
        <w:tc>
          <w:tcPr>
            <w:tcW w:w="0" w:type="auto"/>
            <w:hideMark/>
          </w:tcPr>
          <w:p w14:paraId="6E038CAB"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p-value</w:t>
            </w:r>
          </w:p>
        </w:tc>
      </w:tr>
      <w:tr w:rsidR="00823980" w:rsidRPr="00823980" w14:paraId="6385E07E" w14:textId="77777777" w:rsidTr="00823980">
        <w:tc>
          <w:tcPr>
            <w:tcW w:w="0" w:type="auto"/>
            <w:hideMark/>
          </w:tcPr>
          <w:p w14:paraId="271D4CD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Primary model</w:t>
            </w:r>
          </w:p>
        </w:tc>
        <w:tc>
          <w:tcPr>
            <w:tcW w:w="0" w:type="auto"/>
            <w:hideMark/>
          </w:tcPr>
          <w:p w14:paraId="2A1AA00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179</w:t>
            </w:r>
          </w:p>
        </w:tc>
        <w:tc>
          <w:tcPr>
            <w:tcW w:w="0" w:type="auto"/>
            <w:hideMark/>
          </w:tcPr>
          <w:p w14:paraId="5A7A6CBC"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−52.08 kcal/day</w:t>
            </w:r>
          </w:p>
        </w:tc>
        <w:tc>
          <w:tcPr>
            <w:tcW w:w="0" w:type="auto"/>
            <w:hideMark/>
          </w:tcPr>
          <w:p w14:paraId="25AA3E9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−84.88 to −19.28</w:t>
            </w:r>
          </w:p>
        </w:tc>
        <w:tc>
          <w:tcPr>
            <w:tcW w:w="0" w:type="auto"/>
            <w:hideMark/>
          </w:tcPr>
          <w:p w14:paraId="0F30F078"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0.002</w:t>
            </w:r>
          </w:p>
        </w:tc>
      </w:tr>
      <w:tr w:rsidR="00823980" w:rsidRPr="00823980" w14:paraId="0808B3F1" w14:textId="77777777" w:rsidTr="00823980">
        <w:tc>
          <w:tcPr>
            <w:tcW w:w="0" w:type="auto"/>
            <w:hideMark/>
          </w:tcPr>
          <w:p w14:paraId="220224C2"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Log-transformed energy intake</w:t>
            </w:r>
          </w:p>
        </w:tc>
        <w:tc>
          <w:tcPr>
            <w:tcW w:w="0" w:type="auto"/>
            <w:hideMark/>
          </w:tcPr>
          <w:p w14:paraId="4748D7E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179</w:t>
            </w:r>
          </w:p>
        </w:tc>
        <w:tc>
          <w:tcPr>
            <w:tcW w:w="0" w:type="auto"/>
            <w:hideMark/>
          </w:tcPr>
          <w:p w14:paraId="50909AC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−0.026</w:t>
            </w:r>
          </w:p>
        </w:tc>
        <w:tc>
          <w:tcPr>
            <w:tcW w:w="0" w:type="auto"/>
            <w:hideMark/>
          </w:tcPr>
          <w:p w14:paraId="568FA66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−0.039 to −0.012</w:t>
            </w:r>
          </w:p>
        </w:tc>
        <w:tc>
          <w:tcPr>
            <w:tcW w:w="0" w:type="auto"/>
            <w:hideMark/>
          </w:tcPr>
          <w:p w14:paraId="5FEFA7E4"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r>
      <w:tr w:rsidR="00823980" w:rsidRPr="00823980" w14:paraId="72DCE8D2" w14:textId="77777777" w:rsidTr="00823980">
        <w:tc>
          <w:tcPr>
            <w:tcW w:w="0" w:type="auto"/>
            <w:hideMark/>
          </w:tcPr>
          <w:p w14:paraId="50EBDD6C"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Additional adjustment for estimated BMR</w:t>
            </w:r>
          </w:p>
        </w:tc>
        <w:tc>
          <w:tcPr>
            <w:tcW w:w="0" w:type="auto"/>
            <w:hideMark/>
          </w:tcPr>
          <w:p w14:paraId="039A4CE8"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179</w:t>
            </w:r>
          </w:p>
        </w:tc>
        <w:tc>
          <w:tcPr>
            <w:tcW w:w="0" w:type="auto"/>
            <w:hideMark/>
          </w:tcPr>
          <w:p w14:paraId="51851D7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−60.73 kcal/day</w:t>
            </w:r>
          </w:p>
        </w:tc>
        <w:tc>
          <w:tcPr>
            <w:tcW w:w="0" w:type="auto"/>
            <w:hideMark/>
          </w:tcPr>
          <w:p w14:paraId="7AC97A55"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−93.06 to −28.40</w:t>
            </w:r>
          </w:p>
        </w:tc>
        <w:tc>
          <w:tcPr>
            <w:tcW w:w="0" w:type="auto"/>
            <w:hideMark/>
          </w:tcPr>
          <w:p w14:paraId="1E670FFC"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r>
      <w:tr w:rsidR="00823980" w:rsidRPr="00823980" w14:paraId="0D5CC05D" w14:textId="77777777" w:rsidTr="00823980">
        <w:tc>
          <w:tcPr>
            <w:tcW w:w="0" w:type="auto"/>
            <w:hideMark/>
          </w:tcPr>
          <w:p w14:paraId="1FDCBBEC" w14:textId="10E81E11"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Excluding observations with Cook’s distance &gt;</w:t>
            </w:r>
            <w:r w:rsidR="00485249">
              <w:rPr>
                <w:rFonts w:ascii="Times New Roman" w:eastAsia="Times New Roman" w:hAnsi="Times New Roman" w:cs="Times New Roman"/>
                <w:kern w:val="0"/>
                <w:lang w:eastAsia="cs-CZ"/>
                <w14:ligatures w14:val="none"/>
              </w:rPr>
              <w:t xml:space="preserve"> </w:t>
            </w:r>
            <w:r w:rsidRPr="00823980">
              <w:rPr>
                <w:rFonts w:ascii="Times New Roman" w:eastAsia="Times New Roman" w:hAnsi="Times New Roman" w:cs="Times New Roman"/>
                <w:kern w:val="0"/>
                <w:lang w:eastAsia="cs-CZ"/>
                <w14:ligatures w14:val="none"/>
              </w:rPr>
              <w:t>4/N</w:t>
            </w:r>
          </w:p>
        </w:tc>
        <w:tc>
          <w:tcPr>
            <w:tcW w:w="0" w:type="auto"/>
            <w:hideMark/>
          </w:tcPr>
          <w:p w14:paraId="72221B55"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169</w:t>
            </w:r>
          </w:p>
        </w:tc>
        <w:tc>
          <w:tcPr>
            <w:tcW w:w="0" w:type="auto"/>
            <w:hideMark/>
          </w:tcPr>
          <w:p w14:paraId="217F7A7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−54.39 kcal/day</w:t>
            </w:r>
          </w:p>
        </w:tc>
        <w:tc>
          <w:tcPr>
            <w:tcW w:w="0" w:type="auto"/>
            <w:hideMark/>
          </w:tcPr>
          <w:p w14:paraId="328A51B2"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−79.31 to −29.47</w:t>
            </w:r>
          </w:p>
        </w:tc>
        <w:tc>
          <w:tcPr>
            <w:tcW w:w="0" w:type="auto"/>
            <w:hideMark/>
          </w:tcPr>
          <w:p w14:paraId="7F6CD60D"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r>
    </w:tbl>
    <w:p w14:paraId="20B9854E" w14:textId="47DF79B7" w:rsidR="00823980" w:rsidRPr="00823980" w:rsidRDefault="00823980" w:rsidP="00823980">
      <w:pPr>
        <w:spacing w:before="100" w:beforeAutospacing="1" w:after="100" w:afterAutospacing="1"/>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i/>
          <w:iCs/>
          <w:kern w:val="0"/>
          <w:lang w:eastAsia="cs-CZ"/>
          <w14:ligatures w14:val="none"/>
        </w:rPr>
        <w:t>Values represent the regression coefficient for a 1 percentage-point higher contribution of protein to total energy intake. All models were adjusted for age and sex. In the log-transformed model, B represents the change in ln(total energy intake) per 1 percentage-point higher protein %E. The BMR sensitivity model was additionally adjusted for estimated basal metabolic rate. Ten observations exceeded the Cook’s distance screening threshold of 4/N; these observations were excluded only in the corresponding sensitivity analysis and remained included in all primary analyses.</w:t>
      </w:r>
    </w:p>
    <w:p w14:paraId="083BCBE5" w14:textId="77777777" w:rsidR="00823980" w:rsidRPr="00823980" w:rsidRDefault="00823980" w:rsidP="00823980">
      <w:pPr>
        <w:spacing w:before="100" w:beforeAutospacing="1" w:after="100" w:afterAutospacing="1"/>
        <w:outlineLvl w:val="1"/>
        <w:rPr>
          <w:rFonts w:ascii="Times New Roman" w:eastAsia="Times New Roman" w:hAnsi="Times New Roman" w:cs="Times New Roman"/>
          <w:b/>
          <w:bCs/>
          <w:kern w:val="0"/>
          <w:lang w:eastAsia="cs-CZ"/>
          <w14:ligatures w14:val="none"/>
        </w:rPr>
      </w:pPr>
      <w:r w:rsidRPr="00823980">
        <w:rPr>
          <w:rFonts w:ascii="Times New Roman" w:eastAsia="Times New Roman" w:hAnsi="Times New Roman" w:cs="Times New Roman"/>
          <w:b/>
          <w:bCs/>
          <w:kern w:val="0"/>
          <w:lang w:eastAsia="cs-CZ"/>
          <w14:ligatures w14:val="none"/>
        </w:rPr>
        <w:t>Supplementary Table S4. Exploratory Spearman correlations between macronutrient composition and total energy intake</w:t>
      </w:r>
    </w:p>
    <w:tbl>
      <w:tblPr>
        <w:tblStyle w:val="Mkatabulky"/>
        <w:tblW w:w="0" w:type="auto"/>
        <w:tblLook w:val="04A0" w:firstRow="1" w:lastRow="0" w:firstColumn="1" w:lastColumn="0" w:noHBand="0" w:noVBand="1"/>
      </w:tblPr>
      <w:tblGrid>
        <w:gridCol w:w="1929"/>
        <w:gridCol w:w="1529"/>
        <w:gridCol w:w="1436"/>
        <w:gridCol w:w="2736"/>
      </w:tblGrid>
      <w:tr w:rsidR="00823980" w:rsidRPr="00823980" w14:paraId="141A02A5" w14:textId="77777777" w:rsidTr="00823980">
        <w:tc>
          <w:tcPr>
            <w:tcW w:w="0" w:type="auto"/>
            <w:hideMark/>
          </w:tcPr>
          <w:p w14:paraId="7909B966"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Dietary variable</w:t>
            </w:r>
          </w:p>
        </w:tc>
        <w:tc>
          <w:tcPr>
            <w:tcW w:w="0" w:type="auto"/>
            <w:hideMark/>
          </w:tcPr>
          <w:p w14:paraId="051A7A84"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Spearman’s ρ</w:t>
            </w:r>
          </w:p>
        </w:tc>
        <w:tc>
          <w:tcPr>
            <w:tcW w:w="0" w:type="auto"/>
            <w:hideMark/>
          </w:tcPr>
          <w:p w14:paraId="63DAC230"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Raw p-value</w:t>
            </w:r>
          </w:p>
        </w:tc>
        <w:tc>
          <w:tcPr>
            <w:tcW w:w="0" w:type="auto"/>
            <w:hideMark/>
          </w:tcPr>
          <w:p w14:paraId="5A589A08"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BH-FDR adjusted p-value</w:t>
            </w:r>
          </w:p>
        </w:tc>
      </w:tr>
      <w:tr w:rsidR="00823980" w:rsidRPr="00823980" w14:paraId="6A18B277" w14:textId="77777777" w:rsidTr="00823980">
        <w:tc>
          <w:tcPr>
            <w:tcW w:w="0" w:type="auto"/>
            <w:hideMark/>
          </w:tcPr>
          <w:p w14:paraId="44E43055"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Protein %E</w:t>
            </w:r>
          </w:p>
        </w:tc>
        <w:tc>
          <w:tcPr>
            <w:tcW w:w="0" w:type="auto"/>
            <w:hideMark/>
          </w:tcPr>
          <w:p w14:paraId="011F1628"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−0.260</w:t>
            </w:r>
          </w:p>
        </w:tc>
        <w:tc>
          <w:tcPr>
            <w:tcW w:w="0" w:type="auto"/>
            <w:hideMark/>
          </w:tcPr>
          <w:p w14:paraId="20A1B7E0"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&lt;0.001</w:t>
            </w:r>
          </w:p>
        </w:tc>
        <w:tc>
          <w:tcPr>
            <w:tcW w:w="0" w:type="auto"/>
            <w:hideMark/>
          </w:tcPr>
          <w:p w14:paraId="7717E0D1"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&lt;0.003</w:t>
            </w:r>
          </w:p>
        </w:tc>
      </w:tr>
      <w:tr w:rsidR="00823980" w:rsidRPr="00823980" w14:paraId="7593B251" w14:textId="77777777" w:rsidTr="00823980">
        <w:tc>
          <w:tcPr>
            <w:tcW w:w="0" w:type="auto"/>
            <w:hideMark/>
          </w:tcPr>
          <w:p w14:paraId="50835D1D"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Fat %E</w:t>
            </w:r>
          </w:p>
        </w:tc>
        <w:tc>
          <w:tcPr>
            <w:tcW w:w="0" w:type="auto"/>
            <w:hideMark/>
          </w:tcPr>
          <w:p w14:paraId="5A98123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0.046</w:t>
            </w:r>
          </w:p>
        </w:tc>
        <w:tc>
          <w:tcPr>
            <w:tcW w:w="0" w:type="auto"/>
            <w:hideMark/>
          </w:tcPr>
          <w:p w14:paraId="17001C1B"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0.538</w:t>
            </w:r>
          </w:p>
        </w:tc>
        <w:tc>
          <w:tcPr>
            <w:tcW w:w="0" w:type="auto"/>
            <w:hideMark/>
          </w:tcPr>
          <w:p w14:paraId="7A42F3E6"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0.538</w:t>
            </w:r>
          </w:p>
        </w:tc>
      </w:tr>
      <w:tr w:rsidR="00823980" w:rsidRPr="00823980" w14:paraId="38B3CBB6" w14:textId="77777777" w:rsidTr="00823980">
        <w:tc>
          <w:tcPr>
            <w:tcW w:w="0" w:type="auto"/>
            <w:hideMark/>
          </w:tcPr>
          <w:p w14:paraId="3E2CBFB1"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Carbohydrate %E</w:t>
            </w:r>
          </w:p>
        </w:tc>
        <w:tc>
          <w:tcPr>
            <w:tcW w:w="0" w:type="auto"/>
            <w:hideMark/>
          </w:tcPr>
          <w:p w14:paraId="55C2C34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−0.054</w:t>
            </w:r>
          </w:p>
        </w:tc>
        <w:tc>
          <w:tcPr>
            <w:tcW w:w="0" w:type="auto"/>
            <w:hideMark/>
          </w:tcPr>
          <w:p w14:paraId="2BCACD7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0.474</w:t>
            </w:r>
          </w:p>
        </w:tc>
        <w:tc>
          <w:tcPr>
            <w:tcW w:w="0" w:type="auto"/>
            <w:hideMark/>
          </w:tcPr>
          <w:p w14:paraId="1E3A2BEC"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0.538</w:t>
            </w:r>
          </w:p>
        </w:tc>
      </w:tr>
    </w:tbl>
    <w:p w14:paraId="213D9326" w14:textId="6455BA78" w:rsidR="00823980" w:rsidRPr="00823980" w:rsidRDefault="00823980" w:rsidP="00823980">
      <w:pPr>
        <w:spacing w:before="100" w:beforeAutospacing="1" w:after="100" w:afterAutospacing="1"/>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i/>
          <w:iCs/>
          <w:kern w:val="0"/>
          <w:lang w:eastAsia="cs-CZ"/>
          <w14:ligatures w14:val="none"/>
        </w:rPr>
        <w:t>Spearman rank correlations were calculated between total energy intake and the proportional contribution of protein, fat, and carbohydrate to dietary energy. Benjamini–Hochberg false discovery rate (BH-FDR) correction was applied across the three exploratory correlations. N = 179.</w:t>
      </w:r>
    </w:p>
    <w:p w14:paraId="5242D712" w14:textId="77777777" w:rsidR="00823980" w:rsidRPr="00823980" w:rsidRDefault="00823980" w:rsidP="00823980">
      <w:pPr>
        <w:spacing w:before="100" w:beforeAutospacing="1" w:after="100" w:afterAutospacing="1"/>
        <w:outlineLvl w:val="1"/>
        <w:rPr>
          <w:rFonts w:ascii="Times New Roman" w:eastAsia="Times New Roman" w:hAnsi="Times New Roman" w:cs="Times New Roman"/>
          <w:b/>
          <w:bCs/>
          <w:kern w:val="0"/>
          <w:lang w:eastAsia="cs-CZ"/>
          <w14:ligatures w14:val="none"/>
        </w:rPr>
      </w:pPr>
      <w:r w:rsidRPr="00823980">
        <w:rPr>
          <w:rFonts w:ascii="Times New Roman" w:eastAsia="Times New Roman" w:hAnsi="Times New Roman" w:cs="Times New Roman"/>
          <w:b/>
          <w:bCs/>
          <w:kern w:val="0"/>
          <w:lang w:eastAsia="cs-CZ"/>
          <w14:ligatures w14:val="none"/>
        </w:rPr>
        <w:t>Supplementary Table S5. Exploratory macronutrient interaction analyses</w:t>
      </w:r>
    </w:p>
    <w:tbl>
      <w:tblPr>
        <w:tblStyle w:val="Mkatabulky"/>
        <w:tblW w:w="0" w:type="auto"/>
        <w:tblLook w:val="04A0" w:firstRow="1" w:lastRow="0" w:firstColumn="1" w:lastColumn="0" w:noHBand="0" w:noVBand="1"/>
      </w:tblPr>
      <w:tblGrid>
        <w:gridCol w:w="3231"/>
        <w:gridCol w:w="1943"/>
        <w:gridCol w:w="1499"/>
        <w:gridCol w:w="936"/>
        <w:gridCol w:w="756"/>
      </w:tblGrid>
      <w:tr w:rsidR="00823980" w:rsidRPr="00823980" w14:paraId="37679185" w14:textId="77777777" w:rsidTr="00823980">
        <w:tc>
          <w:tcPr>
            <w:tcW w:w="0" w:type="auto"/>
            <w:hideMark/>
          </w:tcPr>
          <w:p w14:paraId="6941A534"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Interaction term</w:t>
            </w:r>
          </w:p>
        </w:tc>
        <w:tc>
          <w:tcPr>
            <w:tcW w:w="0" w:type="auto"/>
            <w:hideMark/>
          </w:tcPr>
          <w:p w14:paraId="166BA9AA"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Unstandardized B</w:t>
            </w:r>
          </w:p>
        </w:tc>
        <w:tc>
          <w:tcPr>
            <w:tcW w:w="0" w:type="auto"/>
            <w:hideMark/>
          </w:tcPr>
          <w:p w14:paraId="3B589635"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95% CI</w:t>
            </w:r>
          </w:p>
        </w:tc>
        <w:tc>
          <w:tcPr>
            <w:tcW w:w="0" w:type="auto"/>
            <w:hideMark/>
          </w:tcPr>
          <w:p w14:paraId="5087329D"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p-value</w:t>
            </w:r>
          </w:p>
        </w:tc>
        <w:tc>
          <w:tcPr>
            <w:tcW w:w="0" w:type="auto"/>
            <w:hideMark/>
          </w:tcPr>
          <w:p w14:paraId="6DAD9630"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ΔR²</w:t>
            </w:r>
          </w:p>
        </w:tc>
      </w:tr>
      <w:tr w:rsidR="00823980" w:rsidRPr="00823980" w14:paraId="33F35DF8" w14:textId="77777777" w:rsidTr="00823980">
        <w:tc>
          <w:tcPr>
            <w:tcW w:w="0" w:type="auto"/>
            <w:hideMark/>
          </w:tcPr>
          <w:p w14:paraId="1B466C51"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Protein %E × fat %E</w:t>
            </w:r>
          </w:p>
        </w:tc>
        <w:tc>
          <w:tcPr>
            <w:tcW w:w="0" w:type="auto"/>
            <w:hideMark/>
          </w:tcPr>
          <w:p w14:paraId="77B62076"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−2.19</w:t>
            </w:r>
          </w:p>
        </w:tc>
        <w:tc>
          <w:tcPr>
            <w:tcW w:w="0" w:type="auto"/>
            <w:hideMark/>
          </w:tcPr>
          <w:p w14:paraId="2108422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−9.24 to 4.88</w:t>
            </w:r>
          </w:p>
        </w:tc>
        <w:tc>
          <w:tcPr>
            <w:tcW w:w="0" w:type="auto"/>
            <w:hideMark/>
          </w:tcPr>
          <w:p w14:paraId="54DFCD8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0.542</w:t>
            </w:r>
          </w:p>
        </w:tc>
        <w:tc>
          <w:tcPr>
            <w:tcW w:w="0" w:type="auto"/>
            <w:hideMark/>
          </w:tcPr>
          <w:p w14:paraId="28DCA6A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0.002</w:t>
            </w:r>
          </w:p>
        </w:tc>
      </w:tr>
      <w:tr w:rsidR="00823980" w:rsidRPr="00823980" w14:paraId="7415247D" w14:textId="77777777" w:rsidTr="00823980">
        <w:tc>
          <w:tcPr>
            <w:tcW w:w="0" w:type="auto"/>
            <w:hideMark/>
          </w:tcPr>
          <w:p w14:paraId="1A68B722"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Protein %E × carbohydrate %E</w:t>
            </w:r>
          </w:p>
        </w:tc>
        <w:tc>
          <w:tcPr>
            <w:tcW w:w="0" w:type="auto"/>
            <w:hideMark/>
          </w:tcPr>
          <w:p w14:paraId="3E464421"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−3.92</w:t>
            </w:r>
          </w:p>
        </w:tc>
        <w:tc>
          <w:tcPr>
            <w:tcW w:w="0" w:type="auto"/>
            <w:hideMark/>
          </w:tcPr>
          <w:p w14:paraId="28B08958"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−9.76 to 1.93</w:t>
            </w:r>
          </w:p>
        </w:tc>
        <w:tc>
          <w:tcPr>
            <w:tcW w:w="0" w:type="auto"/>
            <w:hideMark/>
          </w:tcPr>
          <w:p w14:paraId="1791C944"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0.188</w:t>
            </w:r>
          </w:p>
        </w:tc>
        <w:tc>
          <w:tcPr>
            <w:tcW w:w="0" w:type="auto"/>
            <w:hideMark/>
          </w:tcPr>
          <w:p w14:paraId="4EE2F671"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0.008</w:t>
            </w:r>
          </w:p>
        </w:tc>
      </w:tr>
    </w:tbl>
    <w:p w14:paraId="47752D63" w14:textId="2587A35A" w:rsidR="00823980" w:rsidRPr="00823980" w:rsidRDefault="00823980" w:rsidP="00823980">
      <w:pPr>
        <w:spacing w:before="100" w:beforeAutospacing="1" w:after="100" w:afterAutospacing="1"/>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i/>
          <w:iCs/>
          <w:kern w:val="0"/>
          <w:lang w:eastAsia="cs-CZ"/>
          <w14:ligatures w14:val="none"/>
        </w:rPr>
        <w:t>Separate multivariable linear regression models were fitted for each interaction. Models were adjusted for age and sex and included the corresponding protein and macronutrient main effects. Continuous macronutrient variables were mean-centered before calculation of interaction terms. Neither interaction significantly improved model fit. N = 179.</w:t>
      </w:r>
    </w:p>
    <w:p w14:paraId="0F02AF5B" w14:textId="77777777" w:rsidR="00823980" w:rsidRDefault="00823980" w:rsidP="00823980">
      <w:pPr>
        <w:spacing w:before="100" w:beforeAutospacing="1" w:after="100" w:afterAutospacing="1"/>
        <w:outlineLvl w:val="1"/>
        <w:rPr>
          <w:rFonts w:ascii="Times New Roman" w:eastAsia="Times New Roman" w:hAnsi="Times New Roman" w:cs="Times New Roman"/>
          <w:kern w:val="0"/>
          <w:lang w:eastAsia="cs-CZ"/>
          <w14:ligatures w14:val="none"/>
        </w:rPr>
      </w:pPr>
    </w:p>
    <w:p w14:paraId="685AD78E" w14:textId="77777777" w:rsidR="00823980" w:rsidRDefault="00823980" w:rsidP="00823980">
      <w:pPr>
        <w:spacing w:before="100" w:beforeAutospacing="1" w:after="100" w:afterAutospacing="1"/>
        <w:outlineLvl w:val="1"/>
        <w:rPr>
          <w:rFonts w:ascii="Times New Roman" w:eastAsia="Times New Roman" w:hAnsi="Times New Roman" w:cs="Times New Roman"/>
          <w:b/>
          <w:bCs/>
          <w:kern w:val="0"/>
          <w:lang w:eastAsia="cs-CZ"/>
          <w14:ligatures w14:val="none"/>
        </w:rPr>
      </w:pPr>
    </w:p>
    <w:p w14:paraId="755B1790" w14:textId="2FF86C2D" w:rsidR="00823980" w:rsidRPr="00823980" w:rsidRDefault="00823980" w:rsidP="00823980">
      <w:pPr>
        <w:spacing w:before="100" w:beforeAutospacing="1" w:after="100" w:afterAutospacing="1"/>
        <w:outlineLvl w:val="1"/>
        <w:rPr>
          <w:rFonts w:ascii="Times New Roman" w:eastAsia="Times New Roman" w:hAnsi="Times New Roman" w:cs="Times New Roman"/>
          <w:b/>
          <w:bCs/>
          <w:kern w:val="0"/>
          <w:lang w:eastAsia="cs-CZ"/>
          <w14:ligatures w14:val="none"/>
        </w:rPr>
      </w:pPr>
      <w:r w:rsidRPr="00823980">
        <w:rPr>
          <w:rFonts w:ascii="Times New Roman" w:eastAsia="Times New Roman" w:hAnsi="Times New Roman" w:cs="Times New Roman"/>
          <w:b/>
          <w:bCs/>
          <w:kern w:val="0"/>
          <w:lang w:eastAsia="cs-CZ"/>
          <w14:ligatures w14:val="none"/>
        </w:rPr>
        <w:t>Supplementary Table S6. Exploratory association between dietary protein density and body fat percentage</w:t>
      </w:r>
    </w:p>
    <w:tbl>
      <w:tblPr>
        <w:tblStyle w:val="Mkatabulky"/>
        <w:tblW w:w="0" w:type="auto"/>
        <w:tblLook w:val="04A0" w:firstRow="1" w:lastRow="0" w:firstColumn="1" w:lastColumn="0" w:noHBand="0" w:noVBand="1"/>
      </w:tblPr>
      <w:tblGrid>
        <w:gridCol w:w="939"/>
        <w:gridCol w:w="2660"/>
        <w:gridCol w:w="1410"/>
        <w:gridCol w:w="1207"/>
        <w:gridCol w:w="852"/>
        <w:gridCol w:w="756"/>
        <w:gridCol w:w="1238"/>
      </w:tblGrid>
      <w:tr w:rsidR="00823980" w:rsidRPr="00823980" w14:paraId="47E8B44E" w14:textId="77777777" w:rsidTr="00823980">
        <w:tc>
          <w:tcPr>
            <w:tcW w:w="0" w:type="auto"/>
            <w:hideMark/>
          </w:tcPr>
          <w:p w14:paraId="42A3DF08"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lastRenderedPageBreak/>
              <w:t>Model</w:t>
            </w:r>
          </w:p>
        </w:tc>
        <w:tc>
          <w:tcPr>
            <w:tcW w:w="0" w:type="auto"/>
            <w:hideMark/>
          </w:tcPr>
          <w:p w14:paraId="23B00927"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Adjustments</w:t>
            </w:r>
          </w:p>
        </w:tc>
        <w:tc>
          <w:tcPr>
            <w:tcW w:w="0" w:type="auto"/>
            <w:hideMark/>
          </w:tcPr>
          <w:p w14:paraId="335BEF71"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B for protein %E</w:t>
            </w:r>
          </w:p>
        </w:tc>
        <w:tc>
          <w:tcPr>
            <w:tcW w:w="0" w:type="auto"/>
            <w:hideMark/>
          </w:tcPr>
          <w:p w14:paraId="68FD8675"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95% CI</w:t>
            </w:r>
          </w:p>
        </w:tc>
        <w:tc>
          <w:tcPr>
            <w:tcW w:w="0" w:type="auto"/>
            <w:hideMark/>
          </w:tcPr>
          <w:p w14:paraId="611C307C"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p-value</w:t>
            </w:r>
          </w:p>
        </w:tc>
        <w:tc>
          <w:tcPr>
            <w:tcW w:w="0" w:type="auto"/>
            <w:hideMark/>
          </w:tcPr>
          <w:p w14:paraId="117CFA2A"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R²</w:t>
            </w:r>
          </w:p>
        </w:tc>
        <w:tc>
          <w:tcPr>
            <w:tcW w:w="0" w:type="auto"/>
            <w:hideMark/>
          </w:tcPr>
          <w:p w14:paraId="0295CD11" w14:textId="77777777" w:rsidR="00823980" w:rsidRPr="00823980" w:rsidRDefault="00823980" w:rsidP="00823980">
            <w:pPr>
              <w:jc w:val="cente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Adjusted R²</w:t>
            </w:r>
          </w:p>
        </w:tc>
      </w:tr>
      <w:tr w:rsidR="00823980" w:rsidRPr="00823980" w14:paraId="03192C9A" w14:textId="77777777" w:rsidTr="00823980">
        <w:tc>
          <w:tcPr>
            <w:tcW w:w="0" w:type="auto"/>
            <w:hideMark/>
          </w:tcPr>
          <w:p w14:paraId="4559F7D8"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Model 1</w:t>
            </w:r>
          </w:p>
        </w:tc>
        <w:tc>
          <w:tcPr>
            <w:tcW w:w="0" w:type="auto"/>
            <w:hideMark/>
          </w:tcPr>
          <w:p w14:paraId="2785EC5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Age, sex</w:t>
            </w:r>
          </w:p>
        </w:tc>
        <w:tc>
          <w:tcPr>
            <w:tcW w:w="0" w:type="auto"/>
            <w:hideMark/>
          </w:tcPr>
          <w:p w14:paraId="57C89B66"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0.478</w:t>
            </w:r>
          </w:p>
        </w:tc>
        <w:tc>
          <w:tcPr>
            <w:tcW w:w="0" w:type="auto"/>
            <w:hideMark/>
          </w:tcPr>
          <w:p w14:paraId="45FE7112"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0.055 to 0.901</w:t>
            </w:r>
          </w:p>
        </w:tc>
        <w:tc>
          <w:tcPr>
            <w:tcW w:w="0" w:type="auto"/>
            <w:hideMark/>
          </w:tcPr>
          <w:p w14:paraId="4D449149"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0.027</w:t>
            </w:r>
          </w:p>
        </w:tc>
        <w:tc>
          <w:tcPr>
            <w:tcW w:w="0" w:type="auto"/>
            <w:hideMark/>
          </w:tcPr>
          <w:p w14:paraId="5A867DE0"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0.270</w:t>
            </w:r>
          </w:p>
        </w:tc>
        <w:tc>
          <w:tcPr>
            <w:tcW w:w="0" w:type="auto"/>
            <w:hideMark/>
          </w:tcPr>
          <w:p w14:paraId="7497EAD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0.257</w:t>
            </w:r>
          </w:p>
        </w:tc>
      </w:tr>
      <w:tr w:rsidR="00823980" w:rsidRPr="00823980" w14:paraId="5ED6DFE9" w14:textId="77777777" w:rsidTr="00823980">
        <w:tc>
          <w:tcPr>
            <w:tcW w:w="0" w:type="auto"/>
            <w:hideMark/>
          </w:tcPr>
          <w:p w14:paraId="77D0B209"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Model 2</w:t>
            </w:r>
          </w:p>
        </w:tc>
        <w:tc>
          <w:tcPr>
            <w:tcW w:w="0" w:type="auto"/>
            <w:hideMark/>
          </w:tcPr>
          <w:p w14:paraId="1C4AF5EA"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Age, sex, total energy intake</w:t>
            </w:r>
          </w:p>
        </w:tc>
        <w:tc>
          <w:tcPr>
            <w:tcW w:w="0" w:type="auto"/>
            <w:hideMark/>
          </w:tcPr>
          <w:p w14:paraId="02C8D8F8"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0.511</w:t>
            </w:r>
          </w:p>
        </w:tc>
        <w:tc>
          <w:tcPr>
            <w:tcW w:w="0" w:type="auto"/>
            <w:hideMark/>
          </w:tcPr>
          <w:p w14:paraId="6E38561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0.076 to 0.946</w:t>
            </w:r>
          </w:p>
        </w:tc>
        <w:tc>
          <w:tcPr>
            <w:tcW w:w="0" w:type="auto"/>
            <w:hideMark/>
          </w:tcPr>
          <w:p w14:paraId="024BB2D0"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0.022</w:t>
            </w:r>
          </w:p>
        </w:tc>
        <w:tc>
          <w:tcPr>
            <w:tcW w:w="0" w:type="auto"/>
            <w:hideMark/>
          </w:tcPr>
          <w:p w14:paraId="2D1782B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0.271</w:t>
            </w:r>
          </w:p>
        </w:tc>
        <w:tc>
          <w:tcPr>
            <w:tcW w:w="0" w:type="auto"/>
            <w:hideMark/>
          </w:tcPr>
          <w:p w14:paraId="79FFA12B"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0.255</w:t>
            </w:r>
          </w:p>
        </w:tc>
      </w:tr>
      <w:tr w:rsidR="00823980" w:rsidRPr="00823980" w14:paraId="7F23C73E" w14:textId="77777777" w:rsidTr="00823980">
        <w:tc>
          <w:tcPr>
            <w:tcW w:w="0" w:type="auto"/>
            <w:hideMark/>
          </w:tcPr>
          <w:p w14:paraId="7458E00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Model 3</w:t>
            </w:r>
          </w:p>
        </w:tc>
        <w:tc>
          <w:tcPr>
            <w:tcW w:w="0" w:type="auto"/>
            <w:hideMark/>
          </w:tcPr>
          <w:p w14:paraId="1098874E"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Age, sex, total energy intake, fat %E</w:t>
            </w:r>
          </w:p>
        </w:tc>
        <w:tc>
          <w:tcPr>
            <w:tcW w:w="0" w:type="auto"/>
            <w:hideMark/>
          </w:tcPr>
          <w:p w14:paraId="468B655F"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0.489</w:t>
            </w:r>
          </w:p>
        </w:tc>
        <w:tc>
          <w:tcPr>
            <w:tcW w:w="0" w:type="auto"/>
            <w:hideMark/>
          </w:tcPr>
          <w:p w14:paraId="6CBCC38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0.057 to 0.922</w:t>
            </w:r>
          </w:p>
        </w:tc>
        <w:tc>
          <w:tcPr>
            <w:tcW w:w="0" w:type="auto"/>
            <w:hideMark/>
          </w:tcPr>
          <w:p w14:paraId="20A5FFF7"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0.027</w:t>
            </w:r>
          </w:p>
        </w:tc>
        <w:tc>
          <w:tcPr>
            <w:tcW w:w="0" w:type="auto"/>
            <w:hideMark/>
          </w:tcPr>
          <w:p w14:paraId="1B596C31"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0.285</w:t>
            </w:r>
          </w:p>
        </w:tc>
        <w:tc>
          <w:tcPr>
            <w:tcW w:w="0" w:type="auto"/>
            <w:hideMark/>
          </w:tcPr>
          <w:p w14:paraId="509855E3" w14:textId="77777777" w:rsidR="00823980" w:rsidRPr="00823980" w:rsidRDefault="00823980" w:rsidP="00823980">
            <w:pPr>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0.264</w:t>
            </w:r>
          </w:p>
        </w:tc>
      </w:tr>
    </w:tbl>
    <w:p w14:paraId="52B5D032" w14:textId="77777777" w:rsidR="00791A8C" w:rsidRDefault="00791A8C" w:rsidP="00823980">
      <w:pPr>
        <w:spacing w:before="100" w:beforeAutospacing="1" w:after="100" w:afterAutospacing="1"/>
        <w:outlineLvl w:val="2"/>
        <w:rPr>
          <w:rFonts w:ascii="Times New Roman" w:eastAsia="Times New Roman" w:hAnsi="Times New Roman" w:cs="Times New Roman"/>
          <w:i/>
          <w:iCs/>
          <w:kern w:val="0"/>
          <w:lang w:eastAsia="cs-CZ"/>
          <w14:ligatures w14:val="none"/>
        </w:rPr>
      </w:pPr>
      <w:r w:rsidRPr="00791A8C">
        <w:rPr>
          <w:rFonts w:ascii="Times New Roman" w:eastAsia="Times New Roman" w:hAnsi="Times New Roman" w:cs="Times New Roman"/>
          <w:i/>
          <w:iCs/>
          <w:kern w:val="0"/>
          <w:lang w:eastAsia="cs-CZ"/>
          <w14:ligatures w14:val="none"/>
        </w:rPr>
        <w:t>Body fat percentage was the dependent variable. Values represent unstandardized regression coefficients (B), expressed as the change in body fat percentage points associated with a 1 percentage-point higher contribution of protein to total energy intake. These analyses were exploratory and were not part of the primary study objective. N = 179.</w:t>
      </w:r>
    </w:p>
    <w:p w14:paraId="6DD50C7D" w14:textId="31C0F64E" w:rsidR="00823980" w:rsidRPr="00823980" w:rsidRDefault="00823980" w:rsidP="00823980">
      <w:pPr>
        <w:spacing w:before="100" w:beforeAutospacing="1" w:after="100" w:afterAutospacing="1"/>
        <w:outlineLvl w:val="2"/>
        <w:rPr>
          <w:rFonts w:ascii="Times New Roman" w:eastAsia="Times New Roman" w:hAnsi="Times New Roman" w:cs="Times New Roman"/>
          <w:kern w:val="0"/>
          <w:lang w:eastAsia="cs-CZ"/>
          <w14:ligatures w14:val="none"/>
        </w:rPr>
      </w:pPr>
      <w:r w:rsidRPr="00823980">
        <w:rPr>
          <w:rFonts w:ascii="Times New Roman" w:eastAsia="Times New Roman" w:hAnsi="Times New Roman" w:cs="Times New Roman"/>
          <w:kern w:val="0"/>
          <w:lang w:eastAsia="cs-CZ"/>
          <w14:ligatures w14:val="none"/>
        </w:rPr>
        <w:t>Abbreviations</w:t>
      </w:r>
      <w:r>
        <w:rPr>
          <w:rFonts w:ascii="Times New Roman" w:eastAsia="Times New Roman" w:hAnsi="Times New Roman" w:cs="Times New Roman"/>
          <w:kern w:val="0"/>
          <w:lang w:eastAsia="cs-CZ"/>
          <w14:ligatures w14:val="none"/>
        </w:rPr>
        <w:t xml:space="preserve">: </w:t>
      </w:r>
      <w:r w:rsidRPr="00823980">
        <w:rPr>
          <w:rFonts w:ascii="Times New Roman" w:eastAsia="Times New Roman" w:hAnsi="Times New Roman" w:cs="Times New Roman"/>
          <w:kern w:val="0"/>
          <w:lang w:eastAsia="cs-CZ"/>
          <w14:ligatures w14:val="none"/>
        </w:rPr>
        <w:t>%E, percentage of total energy intake; B, unstandardized regression coefficient; BH-FDR, Benjamini–Hochberg false discovery rate; BMR, basal metabolic rate; CI, confidence interval; TEI, total energy intake.</w:t>
      </w:r>
    </w:p>
    <w:p w14:paraId="280A381E" w14:textId="77777777" w:rsidR="00D3604F" w:rsidRPr="00823980" w:rsidRDefault="00D3604F" w:rsidP="00823980"/>
    <w:sectPr w:rsidR="00D3604F" w:rsidRPr="008239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980"/>
    <w:rsid w:val="002F5B3A"/>
    <w:rsid w:val="00485249"/>
    <w:rsid w:val="00492527"/>
    <w:rsid w:val="00791A8C"/>
    <w:rsid w:val="00810C13"/>
    <w:rsid w:val="00823980"/>
    <w:rsid w:val="00D3604F"/>
    <w:rsid w:val="00EC76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DE77A"/>
  <w15:chartTrackingRefBased/>
  <w15:docId w15:val="{650CFB2A-EDC0-BC4C-BAB9-727D27F7A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239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8239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82398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82398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82398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823980"/>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23980"/>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23980"/>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23980"/>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2398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82398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82398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82398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82398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82398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2398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2398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23980"/>
    <w:rPr>
      <w:rFonts w:eastAsiaTheme="majorEastAsia" w:cstheme="majorBidi"/>
      <w:color w:val="272727" w:themeColor="text1" w:themeTint="D8"/>
    </w:rPr>
  </w:style>
  <w:style w:type="paragraph" w:styleId="Nzev">
    <w:name w:val="Title"/>
    <w:basedOn w:val="Normln"/>
    <w:next w:val="Normln"/>
    <w:link w:val="NzevChar"/>
    <w:uiPriority w:val="10"/>
    <w:qFormat/>
    <w:rsid w:val="0082398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2398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23980"/>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2398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23980"/>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823980"/>
    <w:rPr>
      <w:i/>
      <w:iCs/>
      <w:color w:val="404040" w:themeColor="text1" w:themeTint="BF"/>
    </w:rPr>
  </w:style>
  <w:style w:type="paragraph" w:styleId="Odstavecseseznamem">
    <w:name w:val="List Paragraph"/>
    <w:basedOn w:val="Normln"/>
    <w:uiPriority w:val="34"/>
    <w:qFormat/>
    <w:rsid w:val="00823980"/>
    <w:pPr>
      <w:ind w:left="720"/>
      <w:contextualSpacing/>
    </w:pPr>
  </w:style>
  <w:style w:type="character" w:styleId="Zdraznnintenzivn">
    <w:name w:val="Intense Emphasis"/>
    <w:basedOn w:val="Standardnpsmoodstavce"/>
    <w:uiPriority w:val="21"/>
    <w:qFormat/>
    <w:rsid w:val="00823980"/>
    <w:rPr>
      <w:i/>
      <w:iCs/>
      <w:color w:val="0F4761" w:themeColor="accent1" w:themeShade="BF"/>
    </w:rPr>
  </w:style>
  <w:style w:type="paragraph" w:styleId="Vrazncitt">
    <w:name w:val="Intense Quote"/>
    <w:basedOn w:val="Normln"/>
    <w:next w:val="Normln"/>
    <w:link w:val="VrazncittChar"/>
    <w:uiPriority w:val="30"/>
    <w:qFormat/>
    <w:rsid w:val="008239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823980"/>
    <w:rPr>
      <w:i/>
      <w:iCs/>
      <w:color w:val="0F4761" w:themeColor="accent1" w:themeShade="BF"/>
    </w:rPr>
  </w:style>
  <w:style w:type="character" w:styleId="Odkazintenzivn">
    <w:name w:val="Intense Reference"/>
    <w:basedOn w:val="Standardnpsmoodstavce"/>
    <w:uiPriority w:val="32"/>
    <w:qFormat/>
    <w:rsid w:val="00823980"/>
    <w:rPr>
      <w:b/>
      <w:bCs/>
      <w:smallCaps/>
      <w:color w:val="0F4761" w:themeColor="accent1" w:themeShade="BF"/>
      <w:spacing w:val="5"/>
    </w:rPr>
  </w:style>
  <w:style w:type="paragraph" w:styleId="Normlnweb">
    <w:name w:val="Normal (Web)"/>
    <w:basedOn w:val="Normln"/>
    <w:uiPriority w:val="99"/>
    <w:semiHidden/>
    <w:unhideWhenUsed/>
    <w:rsid w:val="00823980"/>
    <w:pPr>
      <w:spacing w:before="100" w:beforeAutospacing="1" w:after="100" w:afterAutospacing="1"/>
    </w:pPr>
    <w:rPr>
      <w:rFonts w:ascii="Times New Roman" w:eastAsia="Times New Roman" w:hAnsi="Times New Roman" w:cs="Times New Roman"/>
      <w:kern w:val="0"/>
      <w:lang w:eastAsia="cs-CZ"/>
      <w14:ligatures w14:val="none"/>
    </w:rPr>
  </w:style>
  <w:style w:type="character" w:styleId="Siln">
    <w:name w:val="Strong"/>
    <w:basedOn w:val="Standardnpsmoodstavce"/>
    <w:uiPriority w:val="22"/>
    <w:qFormat/>
    <w:rsid w:val="00823980"/>
    <w:rPr>
      <w:b/>
      <w:bCs/>
    </w:rPr>
  </w:style>
  <w:style w:type="character" w:styleId="Zdraznn">
    <w:name w:val="Emphasis"/>
    <w:basedOn w:val="Standardnpsmoodstavce"/>
    <w:uiPriority w:val="20"/>
    <w:qFormat/>
    <w:rsid w:val="00823980"/>
    <w:rPr>
      <w:i/>
      <w:iCs/>
    </w:rPr>
  </w:style>
  <w:style w:type="character" w:styleId="KdHTML">
    <w:name w:val="HTML Code"/>
    <w:basedOn w:val="Standardnpsmoodstavce"/>
    <w:uiPriority w:val="99"/>
    <w:semiHidden/>
    <w:unhideWhenUsed/>
    <w:rsid w:val="00823980"/>
    <w:rPr>
      <w:rFonts w:ascii="Courier New" w:eastAsia="Times New Roman" w:hAnsi="Courier New" w:cs="Courier New"/>
      <w:sz w:val="20"/>
      <w:szCs w:val="20"/>
    </w:rPr>
  </w:style>
  <w:style w:type="table" w:styleId="Mkatabulky">
    <w:name w:val="Table Grid"/>
    <w:basedOn w:val="Normlntabulka"/>
    <w:uiPriority w:val="39"/>
    <w:rsid w:val="00823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772</Words>
  <Characters>4555</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Kunzová</dc:creator>
  <cp:keywords/>
  <dc:description/>
  <cp:lastModifiedBy>Monika Kunzová</cp:lastModifiedBy>
  <cp:revision>4</cp:revision>
  <dcterms:created xsi:type="dcterms:W3CDTF">2026-08-07T13:02:00Z</dcterms:created>
  <dcterms:modified xsi:type="dcterms:W3CDTF">2026-08-07T15:52:00Z</dcterms:modified>
</cp:coreProperties>
</file>