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CC28FC" w14:textId="77777777" w:rsidR="00E639C3" w:rsidRPr="00CE78C2" w:rsidRDefault="00E639C3" w:rsidP="008E5E80">
      <w:pPr>
        <w:rPr>
          <w:rFonts w:eastAsiaTheme="minorEastAsia" w:cs="Times New Roman"/>
          <w:color w:val="auto"/>
          <w:lang w:eastAsia="zh-CN"/>
        </w:rPr>
      </w:pPr>
      <w:bookmarkStart w:id="0" w:name="_GoBack"/>
      <w:bookmarkEnd w:id="0"/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940"/>
        <w:gridCol w:w="3230"/>
        <w:gridCol w:w="1390"/>
        <w:gridCol w:w="1487"/>
        <w:gridCol w:w="957"/>
      </w:tblGrid>
      <w:tr w:rsidR="004A0979" w:rsidRPr="00CE78C2" w14:paraId="3F5D2111" w14:textId="77777777" w:rsidTr="00E903A6">
        <w:tc>
          <w:tcPr>
            <w:tcW w:w="1940" w:type="dxa"/>
            <w:hideMark/>
          </w:tcPr>
          <w:p w14:paraId="6DB64935" w14:textId="77777777" w:rsidR="004A0979" w:rsidRPr="00CE78C2" w:rsidRDefault="004A0979" w:rsidP="004A097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cs="Times New Roman"/>
                <w:b/>
                <w:bCs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b/>
                <w:bCs/>
                <w:sz w:val="24"/>
                <w:szCs w:val="24"/>
                <w:lang w:eastAsia="aa-ET"/>
              </w:rPr>
              <w:t>Outcome</w:t>
            </w:r>
          </w:p>
        </w:tc>
        <w:tc>
          <w:tcPr>
            <w:tcW w:w="3230" w:type="dxa"/>
            <w:hideMark/>
          </w:tcPr>
          <w:p w14:paraId="0523727D" w14:textId="77777777" w:rsidR="004A0979" w:rsidRPr="00CE78C2" w:rsidRDefault="004A0979" w:rsidP="004A097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cs="Times New Roman"/>
                <w:b/>
                <w:bCs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b/>
                <w:bCs/>
                <w:sz w:val="24"/>
                <w:szCs w:val="24"/>
                <w:lang w:eastAsia="aa-ET"/>
              </w:rPr>
              <w:t>Adjustment</w:t>
            </w:r>
          </w:p>
        </w:tc>
        <w:tc>
          <w:tcPr>
            <w:tcW w:w="1390" w:type="dxa"/>
            <w:hideMark/>
          </w:tcPr>
          <w:p w14:paraId="3BEBDF2E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b/>
                <w:bCs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b/>
                <w:bCs/>
                <w:sz w:val="24"/>
                <w:szCs w:val="24"/>
                <w:lang w:eastAsia="aa-ET"/>
              </w:rPr>
              <w:t>Adjusted group difference</w:t>
            </w:r>
          </w:p>
        </w:tc>
        <w:tc>
          <w:tcPr>
            <w:tcW w:w="1487" w:type="dxa"/>
            <w:hideMark/>
          </w:tcPr>
          <w:p w14:paraId="62DDC346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b/>
                <w:bCs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b/>
                <w:bCs/>
                <w:sz w:val="24"/>
                <w:szCs w:val="24"/>
                <w:lang w:eastAsia="aa-ET"/>
              </w:rPr>
              <w:t>95% CI</w:t>
            </w:r>
          </w:p>
        </w:tc>
        <w:tc>
          <w:tcPr>
            <w:tcW w:w="0" w:type="auto"/>
            <w:hideMark/>
          </w:tcPr>
          <w:p w14:paraId="70992CEB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b/>
                <w:bCs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b/>
                <w:bCs/>
                <w:sz w:val="24"/>
                <w:szCs w:val="24"/>
                <w:lang w:eastAsia="aa-ET"/>
              </w:rPr>
              <w:t>p value</w:t>
            </w:r>
          </w:p>
        </w:tc>
      </w:tr>
      <w:tr w:rsidR="004A0979" w:rsidRPr="00CE78C2" w14:paraId="4AC6BBEE" w14:textId="77777777" w:rsidTr="00E903A6">
        <w:tc>
          <w:tcPr>
            <w:tcW w:w="1940" w:type="dxa"/>
            <w:hideMark/>
          </w:tcPr>
          <w:p w14:paraId="72CA6004" w14:textId="77777777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GPS</w:t>
            </w:r>
          </w:p>
        </w:tc>
        <w:tc>
          <w:tcPr>
            <w:tcW w:w="3230" w:type="dxa"/>
            <w:hideMark/>
          </w:tcPr>
          <w:p w14:paraId="58D2674C" w14:textId="77777777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Baseline GPS</w:t>
            </w:r>
          </w:p>
        </w:tc>
        <w:tc>
          <w:tcPr>
            <w:tcW w:w="1390" w:type="dxa"/>
            <w:hideMark/>
          </w:tcPr>
          <w:p w14:paraId="1AD1B38A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−0.97</w:t>
            </w:r>
          </w:p>
        </w:tc>
        <w:tc>
          <w:tcPr>
            <w:tcW w:w="1487" w:type="dxa"/>
            <w:hideMark/>
          </w:tcPr>
          <w:p w14:paraId="79E1824E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−2.00 to 0.05</w:t>
            </w:r>
          </w:p>
        </w:tc>
        <w:tc>
          <w:tcPr>
            <w:tcW w:w="0" w:type="auto"/>
            <w:hideMark/>
          </w:tcPr>
          <w:p w14:paraId="5B50EDFC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0.061</w:t>
            </w:r>
          </w:p>
        </w:tc>
      </w:tr>
      <w:tr w:rsidR="004A0979" w:rsidRPr="00CE78C2" w14:paraId="26DCB337" w14:textId="77777777" w:rsidTr="00E903A6">
        <w:tc>
          <w:tcPr>
            <w:tcW w:w="1940" w:type="dxa"/>
            <w:hideMark/>
          </w:tcPr>
          <w:p w14:paraId="45247C11" w14:textId="77777777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GPS</w:t>
            </w:r>
          </w:p>
        </w:tc>
        <w:tc>
          <w:tcPr>
            <w:tcW w:w="3230" w:type="dxa"/>
            <w:hideMark/>
          </w:tcPr>
          <w:p w14:paraId="23B87384" w14:textId="77777777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Baseline GPS + age</w:t>
            </w:r>
          </w:p>
        </w:tc>
        <w:tc>
          <w:tcPr>
            <w:tcW w:w="1390" w:type="dxa"/>
            <w:hideMark/>
          </w:tcPr>
          <w:p w14:paraId="76345289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−1.00</w:t>
            </w:r>
          </w:p>
        </w:tc>
        <w:tc>
          <w:tcPr>
            <w:tcW w:w="1487" w:type="dxa"/>
            <w:hideMark/>
          </w:tcPr>
          <w:p w14:paraId="504F4BD4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−2.09 to 0.10</w:t>
            </w:r>
          </w:p>
        </w:tc>
        <w:tc>
          <w:tcPr>
            <w:tcW w:w="0" w:type="auto"/>
            <w:hideMark/>
          </w:tcPr>
          <w:p w14:paraId="0D1CD9D0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0.070</w:t>
            </w:r>
          </w:p>
        </w:tc>
      </w:tr>
      <w:tr w:rsidR="004A0979" w:rsidRPr="00CE78C2" w14:paraId="078F1BEF" w14:textId="77777777" w:rsidTr="00E903A6">
        <w:tc>
          <w:tcPr>
            <w:tcW w:w="1940" w:type="dxa"/>
            <w:hideMark/>
          </w:tcPr>
          <w:p w14:paraId="7BD416B9" w14:textId="77777777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GPS</w:t>
            </w:r>
          </w:p>
        </w:tc>
        <w:tc>
          <w:tcPr>
            <w:tcW w:w="3230" w:type="dxa"/>
            <w:hideMark/>
          </w:tcPr>
          <w:p w14:paraId="1278BDEE" w14:textId="77777777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val="en-GB" w:eastAsia="aa-ET"/>
              </w:rPr>
            </w:pPr>
            <w:r w:rsidRPr="00CE78C2">
              <w:rPr>
                <w:rFonts w:cs="Times New Roman"/>
                <w:sz w:val="24"/>
                <w:szCs w:val="24"/>
                <w:lang w:val="en-GB" w:eastAsia="aa-ET"/>
              </w:rPr>
              <w:t>Baseline GPS + time since stroke</w:t>
            </w:r>
          </w:p>
        </w:tc>
        <w:tc>
          <w:tcPr>
            <w:tcW w:w="1390" w:type="dxa"/>
            <w:hideMark/>
          </w:tcPr>
          <w:p w14:paraId="3D1B1DB7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−0.88</w:t>
            </w:r>
          </w:p>
        </w:tc>
        <w:tc>
          <w:tcPr>
            <w:tcW w:w="1487" w:type="dxa"/>
            <w:hideMark/>
          </w:tcPr>
          <w:p w14:paraId="544FCF8B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−2.13 to 0.37</w:t>
            </w:r>
          </w:p>
        </w:tc>
        <w:tc>
          <w:tcPr>
            <w:tcW w:w="0" w:type="auto"/>
            <w:hideMark/>
          </w:tcPr>
          <w:p w14:paraId="14D9EE13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0.150</w:t>
            </w:r>
          </w:p>
        </w:tc>
      </w:tr>
      <w:tr w:rsidR="004A0979" w:rsidRPr="00CE78C2" w14:paraId="15C20864" w14:textId="77777777" w:rsidTr="00E903A6">
        <w:tc>
          <w:tcPr>
            <w:tcW w:w="1940" w:type="dxa"/>
            <w:hideMark/>
          </w:tcPr>
          <w:p w14:paraId="182F48D0" w14:textId="7CE9641B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Composite gait deviation score</w:t>
            </w:r>
          </w:p>
        </w:tc>
        <w:tc>
          <w:tcPr>
            <w:tcW w:w="3230" w:type="dxa"/>
            <w:hideMark/>
          </w:tcPr>
          <w:p w14:paraId="690914BF" w14:textId="2290E27D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Baseline score</w:t>
            </w:r>
          </w:p>
        </w:tc>
        <w:tc>
          <w:tcPr>
            <w:tcW w:w="1390" w:type="dxa"/>
            <w:hideMark/>
          </w:tcPr>
          <w:p w14:paraId="1C6DE4A4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−1.98</w:t>
            </w:r>
          </w:p>
        </w:tc>
        <w:tc>
          <w:tcPr>
            <w:tcW w:w="1487" w:type="dxa"/>
            <w:hideMark/>
          </w:tcPr>
          <w:p w14:paraId="3EE927B8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−3.74 to −0.22</w:t>
            </w:r>
          </w:p>
        </w:tc>
        <w:tc>
          <w:tcPr>
            <w:tcW w:w="0" w:type="auto"/>
            <w:hideMark/>
          </w:tcPr>
          <w:p w14:paraId="11A583E8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0.030</w:t>
            </w:r>
          </w:p>
        </w:tc>
      </w:tr>
      <w:tr w:rsidR="004A0979" w:rsidRPr="00CE78C2" w14:paraId="5CAA4C10" w14:textId="77777777" w:rsidTr="00E903A6">
        <w:tc>
          <w:tcPr>
            <w:tcW w:w="1940" w:type="dxa"/>
            <w:hideMark/>
          </w:tcPr>
          <w:p w14:paraId="4FC8A524" w14:textId="07BB4304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Composite gait deviation score</w:t>
            </w:r>
          </w:p>
        </w:tc>
        <w:tc>
          <w:tcPr>
            <w:tcW w:w="3230" w:type="dxa"/>
            <w:hideMark/>
          </w:tcPr>
          <w:p w14:paraId="5F74347C" w14:textId="00F2CD0B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Baseline score + age</w:t>
            </w:r>
          </w:p>
        </w:tc>
        <w:tc>
          <w:tcPr>
            <w:tcW w:w="1390" w:type="dxa"/>
            <w:hideMark/>
          </w:tcPr>
          <w:p w14:paraId="080E7428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−2.08</w:t>
            </w:r>
          </w:p>
        </w:tc>
        <w:tc>
          <w:tcPr>
            <w:tcW w:w="1487" w:type="dxa"/>
            <w:hideMark/>
          </w:tcPr>
          <w:p w14:paraId="2D8AE6B8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−3.87 to −0.28</w:t>
            </w:r>
          </w:p>
        </w:tc>
        <w:tc>
          <w:tcPr>
            <w:tcW w:w="0" w:type="auto"/>
            <w:hideMark/>
          </w:tcPr>
          <w:p w14:paraId="44C1DF8F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0.027</w:t>
            </w:r>
          </w:p>
        </w:tc>
      </w:tr>
      <w:tr w:rsidR="004A0979" w:rsidRPr="00CE78C2" w14:paraId="148B389A" w14:textId="77777777" w:rsidTr="00E903A6">
        <w:tc>
          <w:tcPr>
            <w:tcW w:w="1940" w:type="dxa"/>
            <w:hideMark/>
          </w:tcPr>
          <w:p w14:paraId="0C34D6DC" w14:textId="7AB47A6C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Composite gait deviation score</w:t>
            </w:r>
          </w:p>
        </w:tc>
        <w:tc>
          <w:tcPr>
            <w:tcW w:w="3230" w:type="dxa"/>
            <w:hideMark/>
          </w:tcPr>
          <w:p w14:paraId="62236F9D" w14:textId="16EF1080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val="en-GB" w:eastAsia="aa-ET"/>
              </w:rPr>
            </w:pPr>
            <w:r w:rsidRPr="00CE78C2">
              <w:rPr>
                <w:rFonts w:cs="Times New Roman"/>
                <w:sz w:val="24"/>
                <w:szCs w:val="24"/>
                <w:lang w:val="en-GB" w:eastAsia="aa-ET"/>
              </w:rPr>
              <w:t>Baseline score + time since stroke</w:t>
            </w:r>
          </w:p>
        </w:tc>
        <w:tc>
          <w:tcPr>
            <w:tcW w:w="1390" w:type="dxa"/>
            <w:hideMark/>
          </w:tcPr>
          <w:p w14:paraId="047DD4FF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−1.25</w:t>
            </w:r>
          </w:p>
        </w:tc>
        <w:tc>
          <w:tcPr>
            <w:tcW w:w="1487" w:type="dxa"/>
            <w:hideMark/>
          </w:tcPr>
          <w:p w14:paraId="6A60F0E2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−3.25 to 0.74</w:t>
            </w:r>
          </w:p>
        </w:tc>
        <w:tc>
          <w:tcPr>
            <w:tcW w:w="0" w:type="auto"/>
            <w:hideMark/>
          </w:tcPr>
          <w:p w14:paraId="2405FB6D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0.196</w:t>
            </w:r>
          </w:p>
        </w:tc>
      </w:tr>
      <w:tr w:rsidR="004A0979" w:rsidRPr="00CE78C2" w14:paraId="5CB19D39" w14:textId="77777777" w:rsidTr="00E903A6">
        <w:tc>
          <w:tcPr>
            <w:tcW w:w="1940" w:type="dxa"/>
            <w:hideMark/>
          </w:tcPr>
          <w:p w14:paraId="3C0721AB" w14:textId="77777777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FMA-LE</w:t>
            </w:r>
          </w:p>
        </w:tc>
        <w:tc>
          <w:tcPr>
            <w:tcW w:w="3230" w:type="dxa"/>
            <w:hideMark/>
          </w:tcPr>
          <w:p w14:paraId="78A38006" w14:textId="77777777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Baseline FMA-LE</w:t>
            </w:r>
          </w:p>
        </w:tc>
        <w:tc>
          <w:tcPr>
            <w:tcW w:w="1390" w:type="dxa"/>
            <w:hideMark/>
          </w:tcPr>
          <w:p w14:paraId="33735D64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1.57</w:t>
            </w:r>
          </w:p>
        </w:tc>
        <w:tc>
          <w:tcPr>
            <w:tcW w:w="1487" w:type="dxa"/>
            <w:hideMark/>
          </w:tcPr>
          <w:p w14:paraId="6BD29EDD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0.05 to 3.09</w:t>
            </w:r>
          </w:p>
        </w:tc>
        <w:tc>
          <w:tcPr>
            <w:tcW w:w="0" w:type="auto"/>
            <w:hideMark/>
          </w:tcPr>
          <w:p w14:paraId="0A2586D0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0.044</w:t>
            </w:r>
          </w:p>
        </w:tc>
      </w:tr>
      <w:tr w:rsidR="004A0979" w:rsidRPr="00CE78C2" w14:paraId="13760FBD" w14:textId="77777777" w:rsidTr="00E903A6">
        <w:tc>
          <w:tcPr>
            <w:tcW w:w="1940" w:type="dxa"/>
            <w:hideMark/>
          </w:tcPr>
          <w:p w14:paraId="24E96E5F" w14:textId="77777777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FMA-LE</w:t>
            </w:r>
          </w:p>
        </w:tc>
        <w:tc>
          <w:tcPr>
            <w:tcW w:w="3230" w:type="dxa"/>
            <w:hideMark/>
          </w:tcPr>
          <w:p w14:paraId="2A3C041C" w14:textId="77777777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Baseline FMA-LE + age</w:t>
            </w:r>
          </w:p>
        </w:tc>
        <w:tc>
          <w:tcPr>
            <w:tcW w:w="1390" w:type="dxa"/>
            <w:hideMark/>
          </w:tcPr>
          <w:p w14:paraId="5B767897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1.82</w:t>
            </w:r>
          </w:p>
        </w:tc>
        <w:tc>
          <w:tcPr>
            <w:tcW w:w="1487" w:type="dxa"/>
            <w:hideMark/>
          </w:tcPr>
          <w:p w14:paraId="6AFD3190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0.54 to 3.10</w:t>
            </w:r>
          </w:p>
        </w:tc>
        <w:tc>
          <w:tcPr>
            <w:tcW w:w="0" w:type="auto"/>
            <w:hideMark/>
          </w:tcPr>
          <w:p w14:paraId="0E63530F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0.009</w:t>
            </w:r>
          </w:p>
        </w:tc>
      </w:tr>
      <w:tr w:rsidR="004A0979" w:rsidRPr="00CE78C2" w14:paraId="78870B88" w14:textId="77777777" w:rsidTr="00E903A6">
        <w:tc>
          <w:tcPr>
            <w:tcW w:w="1940" w:type="dxa"/>
            <w:hideMark/>
          </w:tcPr>
          <w:p w14:paraId="33467C5C" w14:textId="77777777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FMA-LE</w:t>
            </w:r>
          </w:p>
        </w:tc>
        <w:tc>
          <w:tcPr>
            <w:tcW w:w="3230" w:type="dxa"/>
            <w:hideMark/>
          </w:tcPr>
          <w:p w14:paraId="321D9FD4" w14:textId="77777777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val="en-GB" w:eastAsia="aa-ET"/>
              </w:rPr>
            </w:pPr>
            <w:r w:rsidRPr="00CE78C2">
              <w:rPr>
                <w:rFonts w:cs="Times New Roman"/>
                <w:sz w:val="24"/>
                <w:szCs w:val="24"/>
                <w:lang w:val="en-GB" w:eastAsia="aa-ET"/>
              </w:rPr>
              <w:t>Baseline FMA-LE + time since stroke</w:t>
            </w:r>
          </w:p>
        </w:tc>
        <w:tc>
          <w:tcPr>
            <w:tcW w:w="1390" w:type="dxa"/>
            <w:hideMark/>
          </w:tcPr>
          <w:p w14:paraId="358949A7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2.05</w:t>
            </w:r>
          </w:p>
        </w:tc>
        <w:tc>
          <w:tcPr>
            <w:tcW w:w="1487" w:type="dxa"/>
            <w:hideMark/>
          </w:tcPr>
          <w:p w14:paraId="6EDB6A00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0.13 to 3.96</w:t>
            </w:r>
          </w:p>
        </w:tc>
        <w:tc>
          <w:tcPr>
            <w:tcW w:w="0" w:type="auto"/>
            <w:hideMark/>
          </w:tcPr>
          <w:p w14:paraId="727E7623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0.038</w:t>
            </w:r>
          </w:p>
        </w:tc>
      </w:tr>
      <w:tr w:rsidR="004A0979" w:rsidRPr="00CE78C2" w14:paraId="38667BE1" w14:textId="77777777" w:rsidTr="00E903A6">
        <w:tc>
          <w:tcPr>
            <w:tcW w:w="1940" w:type="dxa"/>
            <w:hideMark/>
          </w:tcPr>
          <w:p w14:paraId="6FD2531E" w14:textId="77777777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TIS</w:t>
            </w:r>
          </w:p>
        </w:tc>
        <w:tc>
          <w:tcPr>
            <w:tcW w:w="3230" w:type="dxa"/>
            <w:hideMark/>
          </w:tcPr>
          <w:p w14:paraId="72CBA9B2" w14:textId="77777777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Baseline TIS</w:t>
            </w:r>
          </w:p>
        </w:tc>
        <w:tc>
          <w:tcPr>
            <w:tcW w:w="1390" w:type="dxa"/>
            <w:hideMark/>
          </w:tcPr>
          <w:p w14:paraId="0A39FEFD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2.70</w:t>
            </w:r>
          </w:p>
        </w:tc>
        <w:tc>
          <w:tcPr>
            <w:tcW w:w="1487" w:type="dxa"/>
            <w:hideMark/>
          </w:tcPr>
          <w:p w14:paraId="6DF7E3FC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1.12 to 4.27</w:t>
            </w:r>
          </w:p>
        </w:tc>
        <w:tc>
          <w:tcPr>
            <w:tcW w:w="0" w:type="auto"/>
            <w:hideMark/>
          </w:tcPr>
          <w:p w14:paraId="59F21D9A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0.003</w:t>
            </w:r>
          </w:p>
        </w:tc>
      </w:tr>
      <w:tr w:rsidR="004A0979" w:rsidRPr="00CE78C2" w14:paraId="0247FC62" w14:textId="77777777" w:rsidTr="00E903A6">
        <w:tc>
          <w:tcPr>
            <w:tcW w:w="1940" w:type="dxa"/>
            <w:hideMark/>
          </w:tcPr>
          <w:p w14:paraId="4EAB45E6" w14:textId="77777777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TIS</w:t>
            </w:r>
          </w:p>
        </w:tc>
        <w:tc>
          <w:tcPr>
            <w:tcW w:w="3230" w:type="dxa"/>
            <w:hideMark/>
          </w:tcPr>
          <w:p w14:paraId="1BA55642" w14:textId="77777777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Baseline TIS + age</w:t>
            </w:r>
          </w:p>
        </w:tc>
        <w:tc>
          <w:tcPr>
            <w:tcW w:w="1390" w:type="dxa"/>
            <w:hideMark/>
          </w:tcPr>
          <w:p w14:paraId="30EAE351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2.60</w:t>
            </w:r>
          </w:p>
        </w:tc>
        <w:tc>
          <w:tcPr>
            <w:tcW w:w="1487" w:type="dxa"/>
            <w:hideMark/>
          </w:tcPr>
          <w:p w14:paraId="3E1F5CE3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0.94 to 4.27</w:t>
            </w:r>
          </w:p>
        </w:tc>
        <w:tc>
          <w:tcPr>
            <w:tcW w:w="0" w:type="auto"/>
            <w:hideMark/>
          </w:tcPr>
          <w:p w14:paraId="543B4EB9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0.005</w:t>
            </w:r>
          </w:p>
        </w:tc>
      </w:tr>
      <w:tr w:rsidR="004A0979" w:rsidRPr="00CE78C2" w14:paraId="6322CA68" w14:textId="77777777" w:rsidTr="00E903A6">
        <w:tc>
          <w:tcPr>
            <w:tcW w:w="1940" w:type="dxa"/>
            <w:hideMark/>
          </w:tcPr>
          <w:p w14:paraId="1EA9E1AB" w14:textId="77777777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TIS</w:t>
            </w:r>
          </w:p>
        </w:tc>
        <w:tc>
          <w:tcPr>
            <w:tcW w:w="3230" w:type="dxa"/>
            <w:hideMark/>
          </w:tcPr>
          <w:p w14:paraId="76431B16" w14:textId="77777777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val="en-GB" w:eastAsia="aa-ET"/>
              </w:rPr>
            </w:pPr>
            <w:r w:rsidRPr="00CE78C2">
              <w:rPr>
                <w:rFonts w:cs="Times New Roman"/>
                <w:sz w:val="24"/>
                <w:szCs w:val="24"/>
                <w:lang w:val="en-GB" w:eastAsia="aa-ET"/>
              </w:rPr>
              <w:t>Baseline TIS + time since stroke</w:t>
            </w:r>
          </w:p>
        </w:tc>
        <w:tc>
          <w:tcPr>
            <w:tcW w:w="1390" w:type="dxa"/>
            <w:hideMark/>
          </w:tcPr>
          <w:p w14:paraId="07731428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3.02</w:t>
            </w:r>
          </w:p>
        </w:tc>
        <w:tc>
          <w:tcPr>
            <w:tcW w:w="1487" w:type="dxa"/>
            <w:hideMark/>
          </w:tcPr>
          <w:p w14:paraId="64D8EB11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1.10 to 4.94</w:t>
            </w:r>
          </w:p>
        </w:tc>
        <w:tc>
          <w:tcPr>
            <w:tcW w:w="0" w:type="auto"/>
            <w:hideMark/>
          </w:tcPr>
          <w:p w14:paraId="70BECF47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0.005</w:t>
            </w:r>
          </w:p>
        </w:tc>
      </w:tr>
      <w:tr w:rsidR="004A0979" w:rsidRPr="00CE78C2" w14:paraId="0229D44C" w14:textId="77777777" w:rsidTr="00E903A6">
        <w:tc>
          <w:tcPr>
            <w:tcW w:w="1940" w:type="dxa"/>
          </w:tcPr>
          <w:p w14:paraId="700FFDF5" w14:textId="77777777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</w:p>
        </w:tc>
        <w:tc>
          <w:tcPr>
            <w:tcW w:w="3230" w:type="dxa"/>
          </w:tcPr>
          <w:p w14:paraId="308E9C89" w14:textId="77777777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</w:p>
        </w:tc>
        <w:tc>
          <w:tcPr>
            <w:tcW w:w="1390" w:type="dxa"/>
          </w:tcPr>
          <w:p w14:paraId="6A180969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</w:p>
        </w:tc>
        <w:tc>
          <w:tcPr>
            <w:tcW w:w="1487" w:type="dxa"/>
          </w:tcPr>
          <w:p w14:paraId="372DF296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</w:p>
        </w:tc>
        <w:tc>
          <w:tcPr>
            <w:tcW w:w="0" w:type="auto"/>
          </w:tcPr>
          <w:p w14:paraId="78C03E7A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</w:p>
        </w:tc>
      </w:tr>
      <w:tr w:rsidR="004A0979" w:rsidRPr="00CE78C2" w14:paraId="62FD14B9" w14:textId="77777777" w:rsidTr="00E903A6">
        <w:tc>
          <w:tcPr>
            <w:tcW w:w="1940" w:type="dxa"/>
          </w:tcPr>
          <w:p w14:paraId="154BD821" w14:textId="77777777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TUG</w:t>
            </w:r>
          </w:p>
        </w:tc>
        <w:tc>
          <w:tcPr>
            <w:tcW w:w="3230" w:type="dxa"/>
          </w:tcPr>
          <w:p w14:paraId="19AF141A" w14:textId="77777777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Baseline TUG</w:t>
            </w:r>
          </w:p>
        </w:tc>
        <w:tc>
          <w:tcPr>
            <w:tcW w:w="1390" w:type="dxa"/>
          </w:tcPr>
          <w:p w14:paraId="6CA2E011" w14:textId="2E1A192E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−3.03s</w:t>
            </w:r>
          </w:p>
        </w:tc>
        <w:tc>
          <w:tcPr>
            <w:tcW w:w="1487" w:type="dxa"/>
          </w:tcPr>
          <w:p w14:paraId="3F7AD5FA" w14:textId="3707DB53" w:rsidR="004A0979" w:rsidRPr="00CE78C2" w:rsidRDefault="00A16925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val="en-US" w:eastAsia="aa-ET"/>
              </w:rPr>
              <w:t>−4.73 to −1.33</w:t>
            </w:r>
          </w:p>
        </w:tc>
        <w:tc>
          <w:tcPr>
            <w:tcW w:w="0" w:type="auto"/>
          </w:tcPr>
          <w:p w14:paraId="666F9D94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0.002</w:t>
            </w:r>
          </w:p>
        </w:tc>
      </w:tr>
      <w:tr w:rsidR="004A0979" w:rsidRPr="00CE78C2" w14:paraId="784A49C4" w14:textId="77777777" w:rsidTr="00E903A6">
        <w:tc>
          <w:tcPr>
            <w:tcW w:w="1940" w:type="dxa"/>
          </w:tcPr>
          <w:p w14:paraId="2210F4DF" w14:textId="77777777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TUG</w:t>
            </w:r>
          </w:p>
        </w:tc>
        <w:tc>
          <w:tcPr>
            <w:tcW w:w="3230" w:type="dxa"/>
          </w:tcPr>
          <w:p w14:paraId="7F8EC58E" w14:textId="77777777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Baseline TUG + age</w:t>
            </w:r>
          </w:p>
        </w:tc>
        <w:tc>
          <w:tcPr>
            <w:tcW w:w="1390" w:type="dxa"/>
          </w:tcPr>
          <w:p w14:paraId="233DE1C8" w14:textId="5D8ABA4E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−3.03s</w:t>
            </w:r>
          </w:p>
        </w:tc>
        <w:tc>
          <w:tcPr>
            <w:tcW w:w="1487" w:type="dxa"/>
          </w:tcPr>
          <w:p w14:paraId="180B7F9D" w14:textId="6BDD90F6" w:rsidR="004A0979" w:rsidRPr="00CE78C2" w:rsidRDefault="00A16925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val="en-US" w:eastAsia="aa-ET"/>
              </w:rPr>
              <w:t>−4.83 to −1.22</w:t>
            </w:r>
          </w:p>
        </w:tc>
        <w:tc>
          <w:tcPr>
            <w:tcW w:w="0" w:type="auto"/>
          </w:tcPr>
          <w:p w14:paraId="0C2B683B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0.003</w:t>
            </w:r>
          </w:p>
        </w:tc>
      </w:tr>
      <w:tr w:rsidR="004A0979" w:rsidRPr="00CE78C2" w14:paraId="690E5673" w14:textId="77777777" w:rsidTr="00E903A6">
        <w:tc>
          <w:tcPr>
            <w:tcW w:w="1940" w:type="dxa"/>
          </w:tcPr>
          <w:p w14:paraId="54FCD618" w14:textId="77777777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TUG</w:t>
            </w:r>
          </w:p>
        </w:tc>
        <w:tc>
          <w:tcPr>
            <w:tcW w:w="3230" w:type="dxa"/>
          </w:tcPr>
          <w:p w14:paraId="02AE3429" w14:textId="77777777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val="en-GB" w:eastAsia="aa-ET"/>
              </w:rPr>
            </w:pPr>
            <w:r w:rsidRPr="00CE78C2">
              <w:rPr>
                <w:rFonts w:cs="Times New Roman"/>
                <w:sz w:val="24"/>
                <w:szCs w:val="24"/>
                <w:lang w:val="en-GB" w:eastAsia="aa-ET"/>
              </w:rPr>
              <w:t>Baseline TUG + time since stroke</w:t>
            </w:r>
          </w:p>
        </w:tc>
        <w:tc>
          <w:tcPr>
            <w:tcW w:w="1390" w:type="dxa"/>
          </w:tcPr>
          <w:p w14:paraId="7013A969" w14:textId="25237D4D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−</w:t>
            </w:r>
            <w:r w:rsidR="00A16925" w:rsidRPr="00CE78C2">
              <w:rPr>
                <w:rFonts w:cs="Times New Roman"/>
                <w:sz w:val="24"/>
                <w:szCs w:val="24"/>
                <w:lang w:eastAsia="aa-ET"/>
              </w:rPr>
              <w:t>3.64s</w:t>
            </w:r>
          </w:p>
        </w:tc>
        <w:tc>
          <w:tcPr>
            <w:tcW w:w="1487" w:type="dxa"/>
          </w:tcPr>
          <w:p w14:paraId="3D571AE8" w14:textId="6C60D7E3" w:rsidR="004A0979" w:rsidRPr="00CE78C2" w:rsidRDefault="00A16925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val="en-US" w:eastAsia="aa-ET"/>
              </w:rPr>
              <w:t>−5.60 to −1.68</w:t>
            </w:r>
          </w:p>
        </w:tc>
        <w:tc>
          <w:tcPr>
            <w:tcW w:w="0" w:type="auto"/>
          </w:tcPr>
          <w:p w14:paraId="51B00721" w14:textId="77777777" w:rsidR="004A0979" w:rsidRPr="00CE78C2" w:rsidRDefault="004A0979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0.002</w:t>
            </w:r>
          </w:p>
        </w:tc>
      </w:tr>
      <w:tr w:rsidR="004A0979" w:rsidRPr="00CE78C2" w14:paraId="3982022D" w14:textId="77777777" w:rsidTr="00E903A6">
        <w:tc>
          <w:tcPr>
            <w:tcW w:w="1940" w:type="dxa"/>
          </w:tcPr>
          <w:p w14:paraId="66177555" w14:textId="77777777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Log-transformed TUG</w:t>
            </w:r>
          </w:p>
        </w:tc>
        <w:tc>
          <w:tcPr>
            <w:tcW w:w="3230" w:type="dxa"/>
          </w:tcPr>
          <w:p w14:paraId="2CFD2BE0" w14:textId="77777777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Baseline log-TUG</w:t>
            </w:r>
          </w:p>
        </w:tc>
        <w:tc>
          <w:tcPr>
            <w:tcW w:w="1390" w:type="dxa"/>
          </w:tcPr>
          <w:p w14:paraId="0788FCBB" w14:textId="5BD3F530" w:rsidR="004A0979" w:rsidRPr="00CE78C2" w:rsidRDefault="00A16925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 w:hint="eastAsia"/>
                <w:sz w:val="24"/>
                <w:szCs w:val="24"/>
                <w:lang w:eastAsia="aa-ET"/>
              </w:rPr>
              <w:t>-</w:t>
            </w:r>
            <w:r w:rsidR="004A0979" w:rsidRPr="00CE78C2">
              <w:rPr>
                <w:rFonts w:cs="Times New Roman"/>
                <w:sz w:val="24"/>
                <w:szCs w:val="24"/>
                <w:lang w:eastAsia="aa-ET"/>
              </w:rPr>
              <w:t xml:space="preserve">15.3% </w:t>
            </w:r>
          </w:p>
        </w:tc>
        <w:tc>
          <w:tcPr>
            <w:tcW w:w="1487" w:type="dxa"/>
          </w:tcPr>
          <w:p w14:paraId="2D5448EF" w14:textId="5035CFFF" w:rsidR="004A0979" w:rsidRPr="00CE78C2" w:rsidRDefault="00A16925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val="en-US" w:eastAsia="aa-ET"/>
              </w:rPr>
              <w:t>−22.4% to −7.4%</w:t>
            </w:r>
          </w:p>
        </w:tc>
        <w:tc>
          <w:tcPr>
            <w:tcW w:w="0" w:type="auto"/>
          </w:tcPr>
          <w:p w14:paraId="157EB8BE" w14:textId="402EE78C" w:rsidR="004A0979" w:rsidRPr="00CE78C2" w:rsidRDefault="00A16925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 w:hint="eastAsia"/>
                <w:sz w:val="24"/>
                <w:szCs w:val="24"/>
                <w:lang w:eastAsia="aa-ET"/>
              </w:rPr>
              <w:t>0.001</w:t>
            </w:r>
          </w:p>
        </w:tc>
      </w:tr>
      <w:tr w:rsidR="004A0979" w:rsidRPr="00CE78C2" w14:paraId="4A709DD9" w14:textId="77777777" w:rsidTr="00E903A6">
        <w:tc>
          <w:tcPr>
            <w:tcW w:w="1940" w:type="dxa"/>
          </w:tcPr>
          <w:p w14:paraId="4B9A582E" w14:textId="77777777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Log-transformed TUG</w:t>
            </w:r>
          </w:p>
        </w:tc>
        <w:tc>
          <w:tcPr>
            <w:tcW w:w="3230" w:type="dxa"/>
          </w:tcPr>
          <w:p w14:paraId="7B35C2C3" w14:textId="77777777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Baseline log-TUG + age</w:t>
            </w:r>
          </w:p>
        </w:tc>
        <w:tc>
          <w:tcPr>
            <w:tcW w:w="1390" w:type="dxa"/>
          </w:tcPr>
          <w:p w14:paraId="587D9BD0" w14:textId="1553FADE" w:rsidR="004A0979" w:rsidRPr="00CE78C2" w:rsidRDefault="00A16925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 w:hint="eastAsia"/>
                <w:sz w:val="24"/>
                <w:szCs w:val="24"/>
                <w:lang w:eastAsia="aa-ET"/>
              </w:rPr>
              <w:t>-</w:t>
            </w:r>
            <w:r w:rsidR="004A0979" w:rsidRPr="00CE78C2">
              <w:rPr>
                <w:rFonts w:cs="Times New Roman"/>
                <w:sz w:val="24"/>
                <w:szCs w:val="24"/>
                <w:lang w:eastAsia="aa-ET"/>
              </w:rPr>
              <w:t xml:space="preserve">15.1% </w:t>
            </w:r>
          </w:p>
        </w:tc>
        <w:tc>
          <w:tcPr>
            <w:tcW w:w="1487" w:type="dxa"/>
          </w:tcPr>
          <w:p w14:paraId="65CF66D5" w14:textId="7D642C63" w:rsidR="004A0979" w:rsidRPr="00CE78C2" w:rsidRDefault="00A16925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val="en-US" w:eastAsia="aa-ET"/>
              </w:rPr>
              <w:t>−22.7% to −6.9%</w:t>
            </w:r>
          </w:p>
        </w:tc>
        <w:tc>
          <w:tcPr>
            <w:tcW w:w="0" w:type="auto"/>
          </w:tcPr>
          <w:p w14:paraId="60A8E546" w14:textId="0C3E763E" w:rsidR="004A0979" w:rsidRPr="00CE78C2" w:rsidRDefault="00A16925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 w:hint="eastAsia"/>
                <w:sz w:val="24"/>
                <w:szCs w:val="24"/>
                <w:lang w:eastAsia="aa-ET"/>
              </w:rPr>
              <w:t>0.002</w:t>
            </w:r>
          </w:p>
        </w:tc>
      </w:tr>
      <w:tr w:rsidR="004A0979" w:rsidRPr="00CE78C2" w14:paraId="1EBC7357" w14:textId="77777777" w:rsidTr="00E903A6">
        <w:tc>
          <w:tcPr>
            <w:tcW w:w="1940" w:type="dxa"/>
          </w:tcPr>
          <w:p w14:paraId="5D646B7E" w14:textId="77777777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eastAsia="aa-ET"/>
              </w:rPr>
              <w:t>Log-transformed TUG</w:t>
            </w:r>
          </w:p>
        </w:tc>
        <w:tc>
          <w:tcPr>
            <w:tcW w:w="3230" w:type="dxa"/>
          </w:tcPr>
          <w:p w14:paraId="707C9C8F" w14:textId="77777777" w:rsidR="004A0979" w:rsidRPr="00CE78C2" w:rsidRDefault="004A0979" w:rsidP="004A0979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val="en-GB" w:eastAsia="aa-ET"/>
              </w:rPr>
            </w:pPr>
            <w:r w:rsidRPr="00CE78C2">
              <w:rPr>
                <w:rFonts w:cs="Times New Roman"/>
                <w:sz w:val="24"/>
                <w:szCs w:val="24"/>
                <w:lang w:val="en-GB" w:eastAsia="aa-ET"/>
              </w:rPr>
              <w:t>Baseline log-TUG + time since stroke</w:t>
            </w:r>
          </w:p>
        </w:tc>
        <w:tc>
          <w:tcPr>
            <w:tcW w:w="1390" w:type="dxa"/>
          </w:tcPr>
          <w:p w14:paraId="778F0757" w14:textId="13061AD6" w:rsidR="004A0979" w:rsidRPr="00CE78C2" w:rsidRDefault="00A16925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 w:hint="eastAsia"/>
                <w:sz w:val="24"/>
                <w:szCs w:val="24"/>
                <w:lang w:eastAsia="aa-ET"/>
              </w:rPr>
              <w:t>-</w:t>
            </w:r>
            <w:r w:rsidR="004A0979" w:rsidRPr="00CE78C2">
              <w:rPr>
                <w:rFonts w:cs="Times New Roman"/>
                <w:sz w:val="24"/>
                <w:szCs w:val="24"/>
                <w:lang w:eastAsia="aa-ET"/>
              </w:rPr>
              <w:t xml:space="preserve">17.1% </w:t>
            </w:r>
          </w:p>
        </w:tc>
        <w:tc>
          <w:tcPr>
            <w:tcW w:w="1487" w:type="dxa"/>
          </w:tcPr>
          <w:p w14:paraId="45199C4D" w14:textId="4A588B0D" w:rsidR="004A0979" w:rsidRPr="00CE78C2" w:rsidRDefault="00A16925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/>
                <w:sz w:val="24"/>
                <w:szCs w:val="24"/>
                <w:lang w:val="en-US" w:eastAsia="aa-ET"/>
              </w:rPr>
              <w:t>−25.3% to −8.0%</w:t>
            </w:r>
          </w:p>
        </w:tc>
        <w:tc>
          <w:tcPr>
            <w:tcW w:w="0" w:type="auto"/>
          </w:tcPr>
          <w:p w14:paraId="028E0E04" w14:textId="07D0D04E" w:rsidR="004A0979" w:rsidRPr="00CE78C2" w:rsidRDefault="00A16925" w:rsidP="00E903A6">
            <w:pPr>
              <w:kinsoku/>
              <w:autoSpaceDE/>
              <w:autoSpaceDN/>
              <w:adjustRightInd/>
              <w:snapToGrid/>
              <w:textAlignment w:val="auto"/>
              <w:rPr>
                <w:rFonts w:cs="Times New Roman"/>
                <w:sz w:val="24"/>
                <w:szCs w:val="24"/>
                <w:lang w:eastAsia="aa-ET"/>
              </w:rPr>
            </w:pPr>
            <w:r w:rsidRPr="00CE78C2">
              <w:rPr>
                <w:rFonts w:cs="Times New Roman" w:hint="eastAsia"/>
                <w:sz w:val="24"/>
                <w:szCs w:val="24"/>
                <w:lang w:eastAsia="aa-ET"/>
              </w:rPr>
              <w:t>0.002</w:t>
            </w:r>
          </w:p>
        </w:tc>
      </w:tr>
    </w:tbl>
    <w:p w14:paraId="70BB3A0B" w14:textId="7EBB04E0" w:rsidR="00B47620" w:rsidRPr="00CE78C2" w:rsidRDefault="00E639C3">
      <w:pPr>
        <w:spacing w:line="251" w:lineRule="auto"/>
        <w:rPr>
          <w:rFonts w:cs="Times New Roman"/>
          <w:color w:val="auto"/>
        </w:rPr>
      </w:pPr>
      <w:r w:rsidRPr="00CE78C2">
        <w:rPr>
          <w:rFonts w:cs="Times New Roman"/>
          <w:color w:val="auto"/>
        </w:rPr>
        <w:t xml:space="preserve">Supplementary Table </w:t>
      </w:r>
      <w:r w:rsidR="00854D5D" w:rsidRPr="00CE78C2">
        <w:rPr>
          <w:rFonts w:eastAsiaTheme="minorEastAsia" w:cs="Times New Roman" w:hint="eastAsia"/>
          <w:color w:val="auto"/>
          <w:lang w:eastAsia="zh-CN"/>
        </w:rPr>
        <w:t>1</w:t>
      </w:r>
      <w:r w:rsidRPr="00CE78C2">
        <w:rPr>
          <w:rFonts w:cs="Times New Roman"/>
          <w:color w:val="auto"/>
        </w:rPr>
        <w:t>. Sensitivity Analyses of Treatment Effects Adjusted for Baseline Outcome Values and Selected Baseline Characteristics</w:t>
      </w:r>
    </w:p>
    <w:p w14:paraId="6D0C787E" w14:textId="75154C47" w:rsidR="00B47620" w:rsidRPr="00CE78C2" w:rsidRDefault="00B47620" w:rsidP="00394047">
      <w:pPr>
        <w:spacing w:before="8"/>
        <w:rPr>
          <w:rFonts w:eastAsiaTheme="minorEastAsia" w:cs="Times New Roman"/>
          <w:color w:val="auto"/>
          <w:lang w:eastAsia="zh-CN"/>
        </w:rPr>
      </w:pPr>
    </w:p>
    <w:sectPr w:rsidR="00B47620" w:rsidRPr="00CE78C2">
      <w:footerReference w:type="default" r:id="rId8"/>
      <w:pgSz w:w="12240" w:h="15840"/>
      <w:pgMar w:top="1346" w:right="1133" w:bottom="848" w:left="1836" w:header="0" w:footer="6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45414D" w14:textId="77777777" w:rsidR="00040F5F" w:rsidRDefault="00040F5F">
      <w:pPr>
        <w:spacing w:after="0"/>
      </w:pPr>
      <w:r>
        <w:separator/>
      </w:r>
    </w:p>
  </w:endnote>
  <w:endnote w:type="continuationSeparator" w:id="0">
    <w:p w14:paraId="227B41B1" w14:textId="77777777" w:rsidR="00040F5F" w:rsidRDefault="00040F5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4DDD98" w14:textId="77777777" w:rsidR="00B47620" w:rsidRDefault="00036B21">
    <w:pPr>
      <w:pStyle w:val="BodyText"/>
      <w:spacing w:line="215" w:lineRule="exact"/>
      <w:jc w:val="right"/>
      <w:rPr>
        <w:sz w:val="17"/>
        <w:szCs w:val="17"/>
      </w:rPr>
    </w:pPr>
    <w:r>
      <w:rPr>
        <w:b/>
        <w:bCs/>
        <w:spacing w:val="8"/>
        <w:position w:val="1"/>
        <w:sz w:val="17"/>
        <w:szCs w:val="17"/>
      </w:rPr>
      <w:t>3/</w:t>
    </w:r>
    <w:hyperlink w:anchor="bookmark4" w:history="1">
      <w:r>
        <w:rPr>
          <w:b/>
          <w:bCs/>
          <w:color w:val="0000FF"/>
          <w:spacing w:val="8"/>
          <w:position w:val="1"/>
          <w:sz w:val="17"/>
          <w:szCs w:val="17"/>
        </w:rPr>
        <w:t>3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24DBB8" w14:textId="77777777" w:rsidR="00040F5F" w:rsidRDefault="00040F5F">
      <w:pPr>
        <w:spacing w:after="0"/>
      </w:pPr>
      <w:r>
        <w:separator/>
      </w:r>
    </w:p>
  </w:footnote>
  <w:footnote w:type="continuationSeparator" w:id="0">
    <w:p w14:paraId="4AC71D7C" w14:textId="77777777" w:rsidR="00040F5F" w:rsidRDefault="00040F5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931DB"/>
    <w:multiLevelType w:val="multilevel"/>
    <w:tmpl w:val="4A70F7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B0153AF"/>
    <w:multiLevelType w:val="hybridMultilevel"/>
    <w:tmpl w:val="7038A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201F0"/>
    <w:multiLevelType w:val="hybridMultilevel"/>
    <w:tmpl w:val="FEAE03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832A0"/>
    <w:multiLevelType w:val="hybridMultilevel"/>
    <w:tmpl w:val="C0F613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0047B8"/>
    <w:multiLevelType w:val="hybridMultilevel"/>
    <w:tmpl w:val="22268F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AE3FE9"/>
    <w:multiLevelType w:val="multilevel"/>
    <w:tmpl w:val="46AE3FE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741C1A"/>
    <w:multiLevelType w:val="hybridMultilevel"/>
    <w:tmpl w:val="51581E74"/>
    <w:lvl w:ilvl="0" w:tplc="26144298">
      <w:start w:val="1"/>
      <w:numFmt w:val="decimal"/>
      <w:lvlText w:val="%1."/>
      <w:lvlJc w:val="left"/>
      <w:pPr>
        <w:ind w:left="391" w:hanging="360"/>
      </w:pPr>
      <w:rPr>
        <w:rFonts w:eastAsiaTheme="minorEastAsia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11" w:hanging="360"/>
      </w:pPr>
    </w:lvl>
    <w:lvl w:ilvl="2" w:tplc="0409001B" w:tentative="1">
      <w:start w:val="1"/>
      <w:numFmt w:val="lowerRoman"/>
      <w:lvlText w:val="%3."/>
      <w:lvlJc w:val="right"/>
      <w:pPr>
        <w:ind w:left="1831" w:hanging="180"/>
      </w:pPr>
    </w:lvl>
    <w:lvl w:ilvl="3" w:tplc="0409000F" w:tentative="1">
      <w:start w:val="1"/>
      <w:numFmt w:val="decimal"/>
      <w:lvlText w:val="%4."/>
      <w:lvlJc w:val="left"/>
      <w:pPr>
        <w:ind w:left="2551" w:hanging="360"/>
      </w:pPr>
    </w:lvl>
    <w:lvl w:ilvl="4" w:tplc="04090019" w:tentative="1">
      <w:start w:val="1"/>
      <w:numFmt w:val="lowerLetter"/>
      <w:lvlText w:val="%5."/>
      <w:lvlJc w:val="left"/>
      <w:pPr>
        <w:ind w:left="3271" w:hanging="360"/>
      </w:pPr>
    </w:lvl>
    <w:lvl w:ilvl="5" w:tplc="0409001B" w:tentative="1">
      <w:start w:val="1"/>
      <w:numFmt w:val="lowerRoman"/>
      <w:lvlText w:val="%6."/>
      <w:lvlJc w:val="right"/>
      <w:pPr>
        <w:ind w:left="3991" w:hanging="180"/>
      </w:pPr>
    </w:lvl>
    <w:lvl w:ilvl="6" w:tplc="0409000F" w:tentative="1">
      <w:start w:val="1"/>
      <w:numFmt w:val="decimal"/>
      <w:lvlText w:val="%7."/>
      <w:lvlJc w:val="left"/>
      <w:pPr>
        <w:ind w:left="4711" w:hanging="360"/>
      </w:pPr>
    </w:lvl>
    <w:lvl w:ilvl="7" w:tplc="04090019" w:tentative="1">
      <w:start w:val="1"/>
      <w:numFmt w:val="lowerLetter"/>
      <w:lvlText w:val="%8."/>
      <w:lvlJc w:val="left"/>
      <w:pPr>
        <w:ind w:left="5431" w:hanging="360"/>
      </w:pPr>
    </w:lvl>
    <w:lvl w:ilvl="8" w:tplc="0409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7" w15:restartNumberingAfterBreak="0">
    <w:nsid w:val="7BA415FC"/>
    <w:multiLevelType w:val="hybridMultilevel"/>
    <w:tmpl w:val="3C0A998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imes New Roman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9sta9e5ixdfp6ez005p5991x92f92x295w9&quot;&gt;feasible stud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2&lt;/item&gt;&lt;item&gt;64&lt;/item&gt;&lt;item&gt;65&lt;/item&gt;&lt;item&gt;66&lt;/item&gt;&lt;item&gt;68&lt;/item&gt;&lt;item&gt;69&lt;/item&gt;&lt;item&gt;73&lt;/item&gt;&lt;item&gt;74&lt;/item&gt;&lt;/record-ids&gt;&lt;/item&gt;&lt;/Libraries&gt;"/>
  </w:docVars>
  <w:rsids>
    <w:rsidRoot w:val="00B47620"/>
    <w:rsid w:val="000077BA"/>
    <w:rsid w:val="00011F46"/>
    <w:rsid w:val="000210BA"/>
    <w:rsid w:val="00026A0A"/>
    <w:rsid w:val="0003054D"/>
    <w:rsid w:val="000326CF"/>
    <w:rsid w:val="00036B21"/>
    <w:rsid w:val="00040658"/>
    <w:rsid w:val="00040F5F"/>
    <w:rsid w:val="000421E4"/>
    <w:rsid w:val="00043090"/>
    <w:rsid w:val="0004451E"/>
    <w:rsid w:val="00044DA9"/>
    <w:rsid w:val="00046DE6"/>
    <w:rsid w:val="00047EFE"/>
    <w:rsid w:val="00053ADF"/>
    <w:rsid w:val="0005439F"/>
    <w:rsid w:val="00057665"/>
    <w:rsid w:val="00060A99"/>
    <w:rsid w:val="00060BD6"/>
    <w:rsid w:val="00060CB6"/>
    <w:rsid w:val="00076A0E"/>
    <w:rsid w:val="00080E49"/>
    <w:rsid w:val="00084D66"/>
    <w:rsid w:val="000852F1"/>
    <w:rsid w:val="000934B1"/>
    <w:rsid w:val="00093650"/>
    <w:rsid w:val="00094597"/>
    <w:rsid w:val="00094CE8"/>
    <w:rsid w:val="0009762F"/>
    <w:rsid w:val="000A0A40"/>
    <w:rsid w:val="000B1573"/>
    <w:rsid w:val="000B1CEA"/>
    <w:rsid w:val="000B1DAB"/>
    <w:rsid w:val="000B4065"/>
    <w:rsid w:val="000D4725"/>
    <w:rsid w:val="000D5133"/>
    <w:rsid w:val="000D5665"/>
    <w:rsid w:val="000E194A"/>
    <w:rsid w:val="000E2C80"/>
    <w:rsid w:val="000E5632"/>
    <w:rsid w:val="000E7B24"/>
    <w:rsid w:val="000F1BB6"/>
    <w:rsid w:val="000F3B85"/>
    <w:rsid w:val="000F4875"/>
    <w:rsid w:val="0010078A"/>
    <w:rsid w:val="00105338"/>
    <w:rsid w:val="00112F38"/>
    <w:rsid w:val="001136A6"/>
    <w:rsid w:val="00113A2F"/>
    <w:rsid w:val="00114864"/>
    <w:rsid w:val="001211AD"/>
    <w:rsid w:val="001218EF"/>
    <w:rsid w:val="00121A12"/>
    <w:rsid w:val="001255F0"/>
    <w:rsid w:val="001362C6"/>
    <w:rsid w:val="00136DBF"/>
    <w:rsid w:val="00136EEB"/>
    <w:rsid w:val="00146B5F"/>
    <w:rsid w:val="00147292"/>
    <w:rsid w:val="00150314"/>
    <w:rsid w:val="00150C2E"/>
    <w:rsid w:val="00152AE2"/>
    <w:rsid w:val="00154A2B"/>
    <w:rsid w:val="0016005C"/>
    <w:rsid w:val="00160BC5"/>
    <w:rsid w:val="001703CB"/>
    <w:rsid w:val="0017503A"/>
    <w:rsid w:val="00177E80"/>
    <w:rsid w:val="001807CA"/>
    <w:rsid w:val="00182B7C"/>
    <w:rsid w:val="00183907"/>
    <w:rsid w:val="001855D1"/>
    <w:rsid w:val="00196FD5"/>
    <w:rsid w:val="001A26B8"/>
    <w:rsid w:val="001A3ECC"/>
    <w:rsid w:val="001B4526"/>
    <w:rsid w:val="001C3E24"/>
    <w:rsid w:val="001D2683"/>
    <w:rsid w:val="001F099E"/>
    <w:rsid w:val="001F09FE"/>
    <w:rsid w:val="001F71E1"/>
    <w:rsid w:val="0020149C"/>
    <w:rsid w:val="002059ED"/>
    <w:rsid w:val="00207495"/>
    <w:rsid w:val="0021384B"/>
    <w:rsid w:val="00216A6D"/>
    <w:rsid w:val="0023410A"/>
    <w:rsid w:val="00242146"/>
    <w:rsid w:val="00243AEA"/>
    <w:rsid w:val="00266635"/>
    <w:rsid w:val="00267F0C"/>
    <w:rsid w:val="00275DB9"/>
    <w:rsid w:val="00280D53"/>
    <w:rsid w:val="00282382"/>
    <w:rsid w:val="00285F12"/>
    <w:rsid w:val="002A4AF9"/>
    <w:rsid w:val="002B75FF"/>
    <w:rsid w:val="002C3693"/>
    <w:rsid w:val="002C37F7"/>
    <w:rsid w:val="002C7CE2"/>
    <w:rsid w:val="002D2319"/>
    <w:rsid w:val="002D2325"/>
    <w:rsid w:val="002D47D5"/>
    <w:rsid w:val="002E20B4"/>
    <w:rsid w:val="002E652B"/>
    <w:rsid w:val="002E7029"/>
    <w:rsid w:val="002F17E9"/>
    <w:rsid w:val="002F2E4E"/>
    <w:rsid w:val="002F30FE"/>
    <w:rsid w:val="0030736F"/>
    <w:rsid w:val="00310D65"/>
    <w:rsid w:val="00311841"/>
    <w:rsid w:val="003172D5"/>
    <w:rsid w:val="00320421"/>
    <w:rsid w:val="0032177F"/>
    <w:rsid w:val="0032474D"/>
    <w:rsid w:val="00330BEC"/>
    <w:rsid w:val="0033577E"/>
    <w:rsid w:val="0033773A"/>
    <w:rsid w:val="003409AD"/>
    <w:rsid w:val="003442CF"/>
    <w:rsid w:val="00344EBC"/>
    <w:rsid w:val="003549E3"/>
    <w:rsid w:val="003566FE"/>
    <w:rsid w:val="00361B63"/>
    <w:rsid w:val="00362E6F"/>
    <w:rsid w:val="00372AFB"/>
    <w:rsid w:val="00375A41"/>
    <w:rsid w:val="00375D5F"/>
    <w:rsid w:val="00376B52"/>
    <w:rsid w:val="00382CFF"/>
    <w:rsid w:val="00386514"/>
    <w:rsid w:val="00386621"/>
    <w:rsid w:val="003920DC"/>
    <w:rsid w:val="00392801"/>
    <w:rsid w:val="00394047"/>
    <w:rsid w:val="00396BEB"/>
    <w:rsid w:val="003A1943"/>
    <w:rsid w:val="003B346E"/>
    <w:rsid w:val="003B3D91"/>
    <w:rsid w:val="003C0F7F"/>
    <w:rsid w:val="003C3A1E"/>
    <w:rsid w:val="003C7529"/>
    <w:rsid w:val="003D3933"/>
    <w:rsid w:val="003D601C"/>
    <w:rsid w:val="003D7F13"/>
    <w:rsid w:val="003E356A"/>
    <w:rsid w:val="003E4AC0"/>
    <w:rsid w:val="003F2F2D"/>
    <w:rsid w:val="00411C74"/>
    <w:rsid w:val="004245B7"/>
    <w:rsid w:val="00426D50"/>
    <w:rsid w:val="00432217"/>
    <w:rsid w:val="00440556"/>
    <w:rsid w:val="00441C2A"/>
    <w:rsid w:val="00445E6A"/>
    <w:rsid w:val="0045002C"/>
    <w:rsid w:val="00451D3E"/>
    <w:rsid w:val="0045448E"/>
    <w:rsid w:val="00464F8B"/>
    <w:rsid w:val="004662D0"/>
    <w:rsid w:val="00477803"/>
    <w:rsid w:val="00482C93"/>
    <w:rsid w:val="00490689"/>
    <w:rsid w:val="00494107"/>
    <w:rsid w:val="0049726C"/>
    <w:rsid w:val="004A0979"/>
    <w:rsid w:val="004A39E8"/>
    <w:rsid w:val="004A6119"/>
    <w:rsid w:val="004A7D57"/>
    <w:rsid w:val="004B072F"/>
    <w:rsid w:val="004B1995"/>
    <w:rsid w:val="004C0331"/>
    <w:rsid w:val="004D5613"/>
    <w:rsid w:val="004E59B8"/>
    <w:rsid w:val="004F037C"/>
    <w:rsid w:val="004F4C7B"/>
    <w:rsid w:val="00500138"/>
    <w:rsid w:val="00501E20"/>
    <w:rsid w:val="00504C60"/>
    <w:rsid w:val="00504E0E"/>
    <w:rsid w:val="00514E21"/>
    <w:rsid w:val="00516095"/>
    <w:rsid w:val="00525C27"/>
    <w:rsid w:val="005266F3"/>
    <w:rsid w:val="00527583"/>
    <w:rsid w:val="005316F9"/>
    <w:rsid w:val="00547836"/>
    <w:rsid w:val="005521F0"/>
    <w:rsid w:val="00552CE3"/>
    <w:rsid w:val="005611D3"/>
    <w:rsid w:val="00562777"/>
    <w:rsid w:val="0057074F"/>
    <w:rsid w:val="00574A93"/>
    <w:rsid w:val="005770FF"/>
    <w:rsid w:val="005862DD"/>
    <w:rsid w:val="005A1505"/>
    <w:rsid w:val="005B295B"/>
    <w:rsid w:val="005B2DB6"/>
    <w:rsid w:val="005B363A"/>
    <w:rsid w:val="005B38BE"/>
    <w:rsid w:val="005B65F4"/>
    <w:rsid w:val="005B77DE"/>
    <w:rsid w:val="005C4600"/>
    <w:rsid w:val="005C6678"/>
    <w:rsid w:val="005D224C"/>
    <w:rsid w:val="005D7C8D"/>
    <w:rsid w:val="005E025E"/>
    <w:rsid w:val="005E4514"/>
    <w:rsid w:val="005E5E5B"/>
    <w:rsid w:val="005F7D8C"/>
    <w:rsid w:val="006009DF"/>
    <w:rsid w:val="006171D8"/>
    <w:rsid w:val="00625E33"/>
    <w:rsid w:val="006265EF"/>
    <w:rsid w:val="00630556"/>
    <w:rsid w:val="006308C8"/>
    <w:rsid w:val="006319E8"/>
    <w:rsid w:val="00635E3B"/>
    <w:rsid w:val="006432AE"/>
    <w:rsid w:val="00645C5F"/>
    <w:rsid w:val="00646796"/>
    <w:rsid w:val="00651CFC"/>
    <w:rsid w:val="00654003"/>
    <w:rsid w:val="00655643"/>
    <w:rsid w:val="00661A71"/>
    <w:rsid w:val="006625C2"/>
    <w:rsid w:val="0066357F"/>
    <w:rsid w:val="00667EB7"/>
    <w:rsid w:val="006718B2"/>
    <w:rsid w:val="00671DEB"/>
    <w:rsid w:val="00674447"/>
    <w:rsid w:val="00677AEA"/>
    <w:rsid w:val="006806FC"/>
    <w:rsid w:val="0068729A"/>
    <w:rsid w:val="00693735"/>
    <w:rsid w:val="006A2D61"/>
    <w:rsid w:val="006A7965"/>
    <w:rsid w:val="006A79E8"/>
    <w:rsid w:val="006A7ADF"/>
    <w:rsid w:val="006B6E70"/>
    <w:rsid w:val="006C0F88"/>
    <w:rsid w:val="006C1EE1"/>
    <w:rsid w:val="006C2F60"/>
    <w:rsid w:val="006C3BC9"/>
    <w:rsid w:val="006C7EB1"/>
    <w:rsid w:val="006D32E1"/>
    <w:rsid w:val="006E3035"/>
    <w:rsid w:val="006F3819"/>
    <w:rsid w:val="006F4049"/>
    <w:rsid w:val="00711C3C"/>
    <w:rsid w:val="00716996"/>
    <w:rsid w:val="0072680E"/>
    <w:rsid w:val="00726B0B"/>
    <w:rsid w:val="0073507D"/>
    <w:rsid w:val="00735A7D"/>
    <w:rsid w:val="00735CD9"/>
    <w:rsid w:val="00737928"/>
    <w:rsid w:val="00742F50"/>
    <w:rsid w:val="00743A10"/>
    <w:rsid w:val="007463D5"/>
    <w:rsid w:val="00753427"/>
    <w:rsid w:val="00757B75"/>
    <w:rsid w:val="007605B8"/>
    <w:rsid w:val="007726E2"/>
    <w:rsid w:val="00785A44"/>
    <w:rsid w:val="007874EB"/>
    <w:rsid w:val="00790648"/>
    <w:rsid w:val="007956CF"/>
    <w:rsid w:val="00795973"/>
    <w:rsid w:val="00795C64"/>
    <w:rsid w:val="007B5384"/>
    <w:rsid w:val="007B5CFB"/>
    <w:rsid w:val="007C18CE"/>
    <w:rsid w:val="007C26F6"/>
    <w:rsid w:val="007C326F"/>
    <w:rsid w:val="007D0740"/>
    <w:rsid w:val="007D0A89"/>
    <w:rsid w:val="007D1299"/>
    <w:rsid w:val="007D3063"/>
    <w:rsid w:val="007D3D35"/>
    <w:rsid w:val="007D755C"/>
    <w:rsid w:val="007E31CD"/>
    <w:rsid w:val="007F2363"/>
    <w:rsid w:val="007F79F3"/>
    <w:rsid w:val="0080122D"/>
    <w:rsid w:val="008029E0"/>
    <w:rsid w:val="00802CA5"/>
    <w:rsid w:val="00804D67"/>
    <w:rsid w:val="0080704C"/>
    <w:rsid w:val="0081169C"/>
    <w:rsid w:val="00821E88"/>
    <w:rsid w:val="00822501"/>
    <w:rsid w:val="00844FA1"/>
    <w:rsid w:val="008531AA"/>
    <w:rsid w:val="00854D5D"/>
    <w:rsid w:val="00855246"/>
    <w:rsid w:val="0085664F"/>
    <w:rsid w:val="00856D99"/>
    <w:rsid w:val="00856E07"/>
    <w:rsid w:val="0085787F"/>
    <w:rsid w:val="00857AD0"/>
    <w:rsid w:val="0087147E"/>
    <w:rsid w:val="00874AD0"/>
    <w:rsid w:val="0087717F"/>
    <w:rsid w:val="00891495"/>
    <w:rsid w:val="008936B6"/>
    <w:rsid w:val="00895FB6"/>
    <w:rsid w:val="0089660D"/>
    <w:rsid w:val="008A7452"/>
    <w:rsid w:val="008A760B"/>
    <w:rsid w:val="008B69F3"/>
    <w:rsid w:val="008B7F5E"/>
    <w:rsid w:val="008C215E"/>
    <w:rsid w:val="008C39F2"/>
    <w:rsid w:val="008C4363"/>
    <w:rsid w:val="008C5921"/>
    <w:rsid w:val="008C7E65"/>
    <w:rsid w:val="008D784E"/>
    <w:rsid w:val="008E1DF2"/>
    <w:rsid w:val="008E5E80"/>
    <w:rsid w:val="008E6896"/>
    <w:rsid w:val="008E6CEB"/>
    <w:rsid w:val="008F111B"/>
    <w:rsid w:val="009004D8"/>
    <w:rsid w:val="00902680"/>
    <w:rsid w:val="009051E4"/>
    <w:rsid w:val="009071AB"/>
    <w:rsid w:val="0091030E"/>
    <w:rsid w:val="00911C3F"/>
    <w:rsid w:val="009220A2"/>
    <w:rsid w:val="009237FF"/>
    <w:rsid w:val="00927BBE"/>
    <w:rsid w:val="009343EB"/>
    <w:rsid w:val="00941AEB"/>
    <w:rsid w:val="009445E9"/>
    <w:rsid w:val="00964C35"/>
    <w:rsid w:val="009657DE"/>
    <w:rsid w:val="0096737C"/>
    <w:rsid w:val="00975D58"/>
    <w:rsid w:val="00986B36"/>
    <w:rsid w:val="00987E13"/>
    <w:rsid w:val="009A4A98"/>
    <w:rsid w:val="009A5265"/>
    <w:rsid w:val="009A78A7"/>
    <w:rsid w:val="009B3C7D"/>
    <w:rsid w:val="009B79B2"/>
    <w:rsid w:val="009C2D08"/>
    <w:rsid w:val="009C4E7D"/>
    <w:rsid w:val="009C4F5A"/>
    <w:rsid w:val="009C657A"/>
    <w:rsid w:val="009D0AF1"/>
    <w:rsid w:val="009D2ABE"/>
    <w:rsid w:val="009D5E67"/>
    <w:rsid w:val="009D7A82"/>
    <w:rsid w:val="009E33E2"/>
    <w:rsid w:val="009E3AD1"/>
    <w:rsid w:val="009F3627"/>
    <w:rsid w:val="009F6544"/>
    <w:rsid w:val="00A02D58"/>
    <w:rsid w:val="00A07465"/>
    <w:rsid w:val="00A1033E"/>
    <w:rsid w:val="00A11B93"/>
    <w:rsid w:val="00A16925"/>
    <w:rsid w:val="00A2325B"/>
    <w:rsid w:val="00A24FBC"/>
    <w:rsid w:val="00A2787C"/>
    <w:rsid w:val="00A3221A"/>
    <w:rsid w:val="00A46111"/>
    <w:rsid w:val="00A511C3"/>
    <w:rsid w:val="00A55851"/>
    <w:rsid w:val="00A57B92"/>
    <w:rsid w:val="00A7586E"/>
    <w:rsid w:val="00A771C9"/>
    <w:rsid w:val="00A8399D"/>
    <w:rsid w:val="00A85A7A"/>
    <w:rsid w:val="00A90FE3"/>
    <w:rsid w:val="00A9146C"/>
    <w:rsid w:val="00AA157F"/>
    <w:rsid w:val="00AA481C"/>
    <w:rsid w:val="00AA5337"/>
    <w:rsid w:val="00AA5860"/>
    <w:rsid w:val="00AA6960"/>
    <w:rsid w:val="00AB20B3"/>
    <w:rsid w:val="00AC0D6D"/>
    <w:rsid w:val="00AC1FD5"/>
    <w:rsid w:val="00AC5867"/>
    <w:rsid w:val="00AC5A17"/>
    <w:rsid w:val="00AD0ED7"/>
    <w:rsid w:val="00AD0F4D"/>
    <w:rsid w:val="00AE0261"/>
    <w:rsid w:val="00AE0D5E"/>
    <w:rsid w:val="00AF1E2E"/>
    <w:rsid w:val="00AF3491"/>
    <w:rsid w:val="00AF4B37"/>
    <w:rsid w:val="00B07249"/>
    <w:rsid w:val="00B11BEB"/>
    <w:rsid w:val="00B23D6C"/>
    <w:rsid w:val="00B270A6"/>
    <w:rsid w:val="00B303C0"/>
    <w:rsid w:val="00B4037A"/>
    <w:rsid w:val="00B4266A"/>
    <w:rsid w:val="00B4343F"/>
    <w:rsid w:val="00B43736"/>
    <w:rsid w:val="00B4507B"/>
    <w:rsid w:val="00B46857"/>
    <w:rsid w:val="00B47620"/>
    <w:rsid w:val="00B51043"/>
    <w:rsid w:val="00B537CF"/>
    <w:rsid w:val="00B60B84"/>
    <w:rsid w:val="00B61FC0"/>
    <w:rsid w:val="00B63E51"/>
    <w:rsid w:val="00B67316"/>
    <w:rsid w:val="00B73A58"/>
    <w:rsid w:val="00B8193C"/>
    <w:rsid w:val="00B84621"/>
    <w:rsid w:val="00B9044E"/>
    <w:rsid w:val="00BA0B14"/>
    <w:rsid w:val="00BA6996"/>
    <w:rsid w:val="00BB2B99"/>
    <w:rsid w:val="00BB72D2"/>
    <w:rsid w:val="00BB7403"/>
    <w:rsid w:val="00BC0FD0"/>
    <w:rsid w:val="00BC3D7A"/>
    <w:rsid w:val="00BE526C"/>
    <w:rsid w:val="00BE579D"/>
    <w:rsid w:val="00BE627A"/>
    <w:rsid w:val="00BF3A42"/>
    <w:rsid w:val="00BF786D"/>
    <w:rsid w:val="00C03004"/>
    <w:rsid w:val="00C04C3D"/>
    <w:rsid w:val="00C04E4C"/>
    <w:rsid w:val="00C204C1"/>
    <w:rsid w:val="00C21573"/>
    <w:rsid w:val="00C215BF"/>
    <w:rsid w:val="00C31125"/>
    <w:rsid w:val="00C36799"/>
    <w:rsid w:val="00C40748"/>
    <w:rsid w:val="00C53195"/>
    <w:rsid w:val="00C53D7B"/>
    <w:rsid w:val="00C60D8F"/>
    <w:rsid w:val="00C623C7"/>
    <w:rsid w:val="00C6453C"/>
    <w:rsid w:val="00C67B2F"/>
    <w:rsid w:val="00C74AAA"/>
    <w:rsid w:val="00C81C56"/>
    <w:rsid w:val="00C82A79"/>
    <w:rsid w:val="00C86207"/>
    <w:rsid w:val="00C9342B"/>
    <w:rsid w:val="00C94489"/>
    <w:rsid w:val="00CA3D9F"/>
    <w:rsid w:val="00CB1712"/>
    <w:rsid w:val="00CB1A84"/>
    <w:rsid w:val="00CB20F6"/>
    <w:rsid w:val="00CB5BB2"/>
    <w:rsid w:val="00CC2711"/>
    <w:rsid w:val="00CD5058"/>
    <w:rsid w:val="00CD582F"/>
    <w:rsid w:val="00CE377C"/>
    <w:rsid w:val="00CE67F1"/>
    <w:rsid w:val="00CE78C2"/>
    <w:rsid w:val="00CE7F2C"/>
    <w:rsid w:val="00CF1625"/>
    <w:rsid w:val="00D1372E"/>
    <w:rsid w:val="00D21875"/>
    <w:rsid w:val="00D220C2"/>
    <w:rsid w:val="00D25636"/>
    <w:rsid w:val="00D32504"/>
    <w:rsid w:val="00D35EE1"/>
    <w:rsid w:val="00D40B2D"/>
    <w:rsid w:val="00D40C1D"/>
    <w:rsid w:val="00D46796"/>
    <w:rsid w:val="00D50F66"/>
    <w:rsid w:val="00D51D0C"/>
    <w:rsid w:val="00D52342"/>
    <w:rsid w:val="00D55972"/>
    <w:rsid w:val="00D578C1"/>
    <w:rsid w:val="00D65730"/>
    <w:rsid w:val="00D65C50"/>
    <w:rsid w:val="00D72CB5"/>
    <w:rsid w:val="00D74C71"/>
    <w:rsid w:val="00D768B6"/>
    <w:rsid w:val="00D81C0F"/>
    <w:rsid w:val="00D83990"/>
    <w:rsid w:val="00D90DDB"/>
    <w:rsid w:val="00D92439"/>
    <w:rsid w:val="00DA2811"/>
    <w:rsid w:val="00DB5BC0"/>
    <w:rsid w:val="00DB7F31"/>
    <w:rsid w:val="00DC24A3"/>
    <w:rsid w:val="00DC288A"/>
    <w:rsid w:val="00DC4B78"/>
    <w:rsid w:val="00DE31EF"/>
    <w:rsid w:val="00DE5CD1"/>
    <w:rsid w:val="00DF25A7"/>
    <w:rsid w:val="00E01E1C"/>
    <w:rsid w:val="00E05A8A"/>
    <w:rsid w:val="00E11244"/>
    <w:rsid w:val="00E12BB1"/>
    <w:rsid w:val="00E13802"/>
    <w:rsid w:val="00E200DA"/>
    <w:rsid w:val="00E2305B"/>
    <w:rsid w:val="00E23362"/>
    <w:rsid w:val="00E263FA"/>
    <w:rsid w:val="00E264DF"/>
    <w:rsid w:val="00E314B2"/>
    <w:rsid w:val="00E32160"/>
    <w:rsid w:val="00E34D8A"/>
    <w:rsid w:val="00E42F3F"/>
    <w:rsid w:val="00E4335A"/>
    <w:rsid w:val="00E45E7E"/>
    <w:rsid w:val="00E50504"/>
    <w:rsid w:val="00E61B88"/>
    <w:rsid w:val="00E626EA"/>
    <w:rsid w:val="00E639C3"/>
    <w:rsid w:val="00E645BA"/>
    <w:rsid w:val="00E70722"/>
    <w:rsid w:val="00E72909"/>
    <w:rsid w:val="00E779CE"/>
    <w:rsid w:val="00E841E8"/>
    <w:rsid w:val="00E87A50"/>
    <w:rsid w:val="00E903A6"/>
    <w:rsid w:val="00E929AA"/>
    <w:rsid w:val="00EA3DA7"/>
    <w:rsid w:val="00EA5C95"/>
    <w:rsid w:val="00EA72F5"/>
    <w:rsid w:val="00EC1517"/>
    <w:rsid w:val="00EC6A9F"/>
    <w:rsid w:val="00ED70D0"/>
    <w:rsid w:val="00EE14F6"/>
    <w:rsid w:val="00EE1F27"/>
    <w:rsid w:val="00EE2AB8"/>
    <w:rsid w:val="00EE6192"/>
    <w:rsid w:val="00EE6BF3"/>
    <w:rsid w:val="00EF68B0"/>
    <w:rsid w:val="00F001CB"/>
    <w:rsid w:val="00F03062"/>
    <w:rsid w:val="00F03AD0"/>
    <w:rsid w:val="00F05742"/>
    <w:rsid w:val="00F06164"/>
    <w:rsid w:val="00F22245"/>
    <w:rsid w:val="00F3101C"/>
    <w:rsid w:val="00F45BEB"/>
    <w:rsid w:val="00F56BB8"/>
    <w:rsid w:val="00F60AE0"/>
    <w:rsid w:val="00F611C9"/>
    <w:rsid w:val="00F64654"/>
    <w:rsid w:val="00F665F3"/>
    <w:rsid w:val="00F709CE"/>
    <w:rsid w:val="00F72430"/>
    <w:rsid w:val="00F7426A"/>
    <w:rsid w:val="00F7651F"/>
    <w:rsid w:val="00F83AB1"/>
    <w:rsid w:val="00F85462"/>
    <w:rsid w:val="00F959FE"/>
    <w:rsid w:val="00F95C32"/>
    <w:rsid w:val="00FA22F6"/>
    <w:rsid w:val="00FA4F15"/>
    <w:rsid w:val="00FB533D"/>
    <w:rsid w:val="00FC0CD2"/>
    <w:rsid w:val="00FC23ED"/>
    <w:rsid w:val="00FC3070"/>
    <w:rsid w:val="00FE4B68"/>
    <w:rsid w:val="00FE5B58"/>
    <w:rsid w:val="00FF1650"/>
    <w:rsid w:val="00FF3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3D38D2"/>
  <w15:docId w15:val="{07E7ED9D-25EF-4DA7-8163-3D8240A9E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2F2D"/>
    <w:pPr>
      <w:kinsoku w:val="0"/>
      <w:autoSpaceDE w:val="0"/>
      <w:autoSpaceDN w:val="0"/>
      <w:adjustRightInd w:val="0"/>
      <w:snapToGrid w:val="0"/>
      <w:spacing w:line="240" w:lineRule="auto"/>
      <w:textAlignment w:val="baseline"/>
    </w:pPr>
    <w:rPr>
      <w:rFonts w:ascii="Times New Roman" w:eastAsia="Times New Roman" w:hAnsi="Times New Roman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6960"/>
    <w:pPr>
      <w:keepNext/>
      <w:outlineLvl w:val="0"/>
    </w:pPr>
    <w:rPr>
      <w:rFonts w:eastAsiaTheme="majorEastAsia" w:cstheme="majorBidi"/>
      <w:b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70A6"/>
    <w:pPr>
      <w:keepNext/>
      <w:keepLines/>
      <w:widowControl w:val="0"/>
      <w:kinsoku/>
      <w:autoSpaceDE/>
      <w:autoSpaceDN/>
      <w:adjustRightInd/>
      <w:snapToGrid/>
      <w:spacing w:before="160" w:after="80" w:line="278" w:lineRule="auto"/>
      <w:textAlignment w:val="auto"/>
      <w:outlineLvl w:val="1"/>
    </w:pPr>
    <w:rPr>
      <w:rFonts w:cstheme="majorBidi"/>
      <w:snapToGrid/>
      <w:color w:val="000000" w:themeColor="text1"/>
      <w:kern w:val="2"/>
      <w:szCs w:val="32"/>
      <w:lang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2F2D"/>
    <w:pPr>
      <w:keepNext/>
      <w:ind w:left="851"/>
      <w:outlineLvl w:val="2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cs="Times New Roman"/>
      <w:sz w:val="19"/>
      <w:szCs w:val="19"/>
    </w:rPr>
  </w:style>
  <w:style w:type="character" w:styleId="Hyperlink">
    <w:name w:val="Hyperlink"/>
    <w:rsid w:val="006C2F60"/>
    <w:rPr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26A0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0"/>
    <w:rsid w:val="00654003"/>
    <w:pPr>
      <w:spacing w:after="0"/>
      <w:jc w:val="center"/>
    </w:pPr>
    <w:rPr>
      <w:rFonts w:cs="Times New Roman"/>
      <w:sz w:val="18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654003"/>
    <w:rPr>
      <w:rFonts w:ascii="Times New Roman" w:eastAsia="Times New Roman" w:hAnsi="Times New Roman" w:cs="Times New Roman"/>
      <w:sz w:val="18"/>
    </w:rPr>
  </w:style>
  <w:style w:type="paragraph" w:customStyle="1" w:styleId="EndNoteBibliography">
    <w:name w:val="EndNote Bibliography"/>
    <w:basedOn w:val="Normal"/>
    <w:link w:val="EndNoteBibliography0"/>
    <w:rsid w:val="00654003"/>
    <w:rPr>
      <w:rFonts w:cs="Times New Roman"/>
      <w:sz w:val="18"/>
    </w:rPr>
  </w:style>
  <w:style w:type="character" w:customStyle="1" w:styleId="EndNoteBibliography0">
    <w:name w:val="EndNote Bibliography 字符"/>
    <w:basedOn w:val="DefaultParagraphFont"/>
    <w:link w:val="EndNoteBibliography"/>
    <w:rsid w:val="00654003"/>
    <w:rPr>
      <w:rFonts w:ascii="Times New Roman" w:eastAsia="Times New Roman" w:hAnsi="Times New Roman" w:cs="Times New Roman"/>
      <w:sz w:val="18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B270A6"/>
    <w:rPr>
      <w:rFonts w:ascii="Times New Roman" w:eastAsia="Times New Roman" w:hAnsi="Times New Roman" w:cstheme="majorBidi"/>
      <w:snapToGrid/>
      <w:color w:val="000000" w:themeColor="text1"/>
      <w:kern w:val="2"/>
      <w:sz w:val="22"/>
      <w:szCs w:val="32"/>
      <w:lang w:eastAsia="zh-CN"/>
      <w14:ligatures w14:val="standardContextual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8E5E80"/>
    <w:pPr>
      <w:keepNext/>
      <w:widowControl w:val="0"/>
      <w:kinsoku/>
      <w:autoSpaceDE/>
      <w:autoSpaceDN/>
      <w:adjustRightInd/>
      <w:snapToGrid/>
      <w:spacing w:line="360" w:lineRule="auto"/>
      <w:textAlignment w:val="auto"/>
    </w:pPr>
    <w:rPr>
      <w:rFonts w:eastAsiaTheme="minorEastAsia" w:cs="Times New Roman"/>
      <w:snapToGrid/>
      <w:color w:val="000000" w:themeColor="text1"/>
      <w:kern w:val="2"/>
      <w:szCs w:val="22"/>
      <w:lang w:val="en-GB" w:eastAsia="zh-CN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2F2D"/>
    <w:rPr>
      <w:rFonts w:asciiTheme="majorHAnsi" w:eastAsiaTheme="majorEastAsia" w:hAnsiTheme="majorHAnsi" w:cstheme="majorBidi"/>
      <w:noProof/>
    </w:rPr>
  </w:style>
  <w:style w:type="paragraph" w:styleId="ListParagraph">
    <w:name w:val="List Paragraph"/>
    <w:basedOn w:val="Normal"/>
    <w:uiPriority w:val="34"/>
    <w:qFormat/>
    <w:rsid w:val="003F2F2D"/>
    <w:pPr>
      <w:widowControl w:val="0"/>
      <w:kinsoku/>
      <w:autoSpaceDE/>
      <w:autoSpaceDN/>
      <w:adjustRightInd/>
      <w:snapToGrid/>
      <w:spacing w:line="278" w:lineRule="auto"/>
      <w:ind w:left="720"/>
      <w:contextualSpacing/>
      <w:textAlignment w:val="auto"/>
    </w:pPr>
    <w:rPr>
      <w:rFonts w:cstheme="minorBidi"/>
      <w:snapToGrid/>
      <w:color w:val="auto"/>
      <w:kern w:val="2"/>
      <w:sz w:val="24"/>
      <w:szCs w:val="24"/>
      <w:lang w:eastAsia="zh-CN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AA6960"/>
    <w:rPr>
      <w:rFonts w:ascii="Times New Roman" w:eastAsiaTheme="majorEastAsia" w:hAnsi="Times New Roman" w:cstheme="majorBidi"/>
      <w:b/>
      <w:noProof/>
      <w:sz w:val="22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8E5E80"/>
    <w:pPr>
      <w:widowControl w:val="0"/>
      <w:kinsoku/>
      <w:autoSpaceDE/>
      <w:autoSpaceDN/>
      <w:adjustRightInd/>
      <w:snapToGrid/>
      <w:spacing w:line="278" w:lineRule="auto"/>
      <w:textAlignment w:val="auto"/>
    </w:pPr>
    <w:rPr>
      <w:rFonts w:cstheme="minorBidi"/>
      <w:snapToGrid/>
      <w:color w:val="auto"/>
      <w:kern w:val="2"/>
      <w:sz w:val="24"/>
      <w:szCs w:val="24"/>
      <w:lang w:eastAsia="zh-CN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8E5E80"/>
    <w:rPr>
      <w:rFonts w:ascii="Times New Roman" w:eastAsia="Times New Roman" w:hAnsi="Times New Roman" w:cstheme="minorBidi"/>
      <w:snapToGrid/>
      <w:color w:val="auto"/>
      <w:kern w:val="2"/>
      <w:sz w:val="24"/>
      <w:szCs w:val="24"/>
      <w:lang w:eastAsia="zh-CN"/>
      <w14:ligatures w14:val="standardContextual"/>
    </w:rPr>
  </w:style>
  <w:style w:type="table" w:customStyle="1" w:styleId="TableGrid2">
    <w:name w:val="Table Grid2"/>
    <w:basedOn w:val="TableNormal"/>
    <w:uiPriority w:val="39"/>
    <w:qFormat/>
    <w:rsid w:val="008E5E80"/>
    <w:pPr>
      <w:spacing w:after="0" w:line="240" w:lineRule="auto"/>
    </w:pPr>
    <w:rPr>
      <w:rFonts w:asciiTheme="minorHAnsi" w:eastAsia="PMingLiU" w:hAnsiTheme="minorHAnsi" w:cstheme="minorBidi"/>
      <w:snapToGrid/>
      <w:color w:val="auto"/>
      <w:sz w:val="20"/>
      <w:szCs w:val="20"/>
      <w:lang w:val="zh-CN"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qFormat/>
    <w:rsid w:val="008E5E80"/>
    <w:pPr>
      <w:spacing w:after="0" w:line="240" w:lineRule="auto"/>
    </w:pPr>
    <w:rPr>
      <w:rFonts w:asciiTheme="minorHAnsi" w:hAnsiTheme="minorHAnsi" w:cstheme="minorBidi"/>
      <w:snapToGrid/>
      <w:color w:val="auto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F4049"/>
    <w:pPr>
      <w:spacing w:after="0" w:line="240" w:lineRule="auto"/>
    </w:pPr>
    <w:rPr>
      <w:rFonts w:ascii="Times New Roman" w:eastAsia="Times New Roman" w:hAnsi="Times New Roman"/>
      <w:noProof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E5B5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5B58"/>
    <w:pPr>
      <w:widowControl/>
      <w:kinsoku w:val="0"/>
      <w:autoSpaceDE w:val="0"/>
      <w:autoSpaceDN w:val="0"/>
      <w:adjustRightInd w:val="0"/>
      <w:snapToGrid w:val="0"/>
      <w:spacing w:line="240" w:lineRule="auto"/>
      <w:textAlignment w:val="baseline"/>
    </w:pPr>
    <w:rPr>
      <w:rFonts w:cs="Arial"/>
      <w:b/>
      <w:bCs/>
      <w:noProof/>
      <w:snapToGrid w:val="0"/>
      <w:color w:val="000000"/>
      <w:kern w:val="0"/>
      <w:sz w:val="20"/>
      <w:szCs w:val="20"/>
      <w:lang w:eastAsia="en-US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5B58"/>
    <w:rPr>
      <w:rFonts w:ascii="Times New Roman" w:eastAsia="Times New Roman" w:hAnsi="Times New Roman" w:cstheme="minorBidi"/>
      <w:b/>
      <w:bCs/>
      <w:noProof/>
      <w:snapToGrid w:val="0"/>
      <w:color w:val="auto"/>
      <w:kern w:val="2"/>
      <w:sz w:val="20"/>
      <w:szCs w:val="20"/>
      <w:lang w:eastAsia="zh-CN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445E6A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61B8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B88"/>
    <w:rPr>
      <w:rFonts w:ascii="Times New Roman" w:eastAsia="Times New Roman" w:hAnsi="Times New Roman"/>
      <w:noProof/>
      <w:sz w:val="22"/>
    </w:rPr>
  </w:style>
  <w:style w:type="paragraph" w:styleId="Footer">
    <w:name w:val="footer"/>
    <w:basedOn w:val="Normal"/>
    <w:link w:val="FooterChar"/>
    <w:uiPriority w:val="99"/>
    <w:unhideWhenUsed/>
    <w:rsid w:val="00E61B8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B88"/>
    <w:rPr>
      <w:rFonts w:ascii="Times New Roman" w:eastAsia="Times New Roman" w:hAnsi="Times New Roman"/>
      <w:noProof/>
      <w:sz w:val="22"/>
    </w:rPr>
  </w:style>
  <w:style w:type="paragraph" w:styleId="NormalWeb">
    <w:name w:val="Normal (Web)"/>
    <w:basedOn w:val="Normal"/>
    <w:uiPriority w:val="99"/>
    <w:semiHidden/>
    <w:unhideWhenUsed/>
    <w:rsid w:val="00844FA1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1B627-22AB-44AF-A195-E0AFA16D5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5607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Suganya S</cp:lastModifiedBy>
  <cp:revision>598</cp:revision>
  <dcterms:created xsi:type="dcterms:W3CDTF">2026-05-22T07:25:00Z</dcterms:created>
  <dcterms:modified xsi:type="dcterms:W3CDTF">2026-08-23T06:09:00Z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2026-05-16T12:53:54Z</vt:filetime>
  </property>
  <property fmtid="{D5CDD505-2E9C-101B-9397-08002B2CF9AE}" pid="4" name="GrammarlyDocumentId">
    <vt:lpwstr>b28949c0-93a5-4995-9f69-c305fe88aa51</vt:lpwstr>
  </property>
</Properties>
</file>