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0"/>
        <w:jc w:val="center"/>
      </w:pPr>
      <w:r>
        <w:rPr>
          <w:rFonts w:ascii="Times New Roman" w:hAnsi="Times New Roman"/>
          <w:b/>
          <w:sz w:val="26"/>
        </w:rPr>
        <w:t>Supplementary Table S9. CHART Checklist</w:t>
      </w:r>
    </w:p>
    <w:p>
      <w:pPr>
        <w:spacing w:after="120"/>
        <w:jc w:val="left"/>
      </w:pPr>
      <w:r>
        <w:rPr>
          <w:sz w:val="18"/>
        </w:rPr>
        <w:t>Note. This checklist was updated against the current 19-page manuscript and the submitted supplementary materials. Locations refer to the current revised manuscript and supplementary tables.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64"/>
        <w:gridCol w:w="3564"/>
        <w:gridCol w:w="3564"/>
        <w:gridCol w:w="3564"/>
      </w:tblGrid>
      <w:tr>
        <w:trPr>
          <w:tblHeader w:val="true"/>
          <w:cantSplit/>
        </w:trPr>
        <w:tc>
          <w:tcPr>
            <w:tcW w:type="dxa" w:w="1944"/>
            <w:shd w:fill="D9EAF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Heading</w:t>
            </w:r>
          </w:p>
        </w:tc>
        <w:tc>
          <w:tcPr>
            <w:tcW w:type="dxa" w:w="792"/>
            <w:shd w:fill="D9EAF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No.</w:t>
            </w:r>
          </w:p>
        </w:tc>
        <w:tc>
          <w:tcPr>
            <w:tcW w:type="dxa" w:w="7992"/>
            <w:shd w:fill="D9EAF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CHART checklist item</w:t>
            </w:r>
          </w:p>
        </w:tc>
        <w:tc>
          <w:tcPr>
            <w:tcW w:type="dxa" w:w="4536"/>
            <w:shd w:fill="D9EAF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Page No./Location</w:t>
            </w:r>
          </w:p>
        </w:tc>
      </w:tr>
      <w:tr>
        <w:trPr>
          <w:cantSplit/>
        </w:trPr>
        <w:tc>
          <w:tcPr>
            <w:tcW w:type="dxa" w:w="10728"/>
            <w:vAlign w:val="center"/>
            <w:gridSpan w:val="3"/>
            <w:tcMar>
              <w:top w:w="45" w:type="dxa"/>
              <w:start w:w="55" w:type="dxa"/>
              <w:bottom w:w="45" w:type="dxa"/>
              <w:end w:w="55" w:type="dxa"/>
            </w:tcMar>
            <w:shd w:fill="EAF2F8"/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Title and abstract</w:t>
            </w:r>
          </w:p>
        </w:tc>
        <w:tc>
          <w:tcPr>
            <w:tcW w:type="dxa" w:w="453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EAF2F8"/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Manuscript pp. 1–2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Title</w:t>
            </w:r>
          </w:p>
        </w:tc>
        <w:tc>
          <w:tcPr>
            <w:tcW w:type="dxa" w:w="7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7"/>
              </w:rPr>
              <w:t>1a</w:t>
            </w:r>
          </w:p>
        </w:tc>
        <w:tc>
          <w:tcPr>
            <w:tcW w:type="dxa" w:w="79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State that the study is assessing one or more generative AI-driven chatbots for clinical evidence or health advice.</w:t>
            </w:r>
          </w:p>
        </w:tc>
        <w:tc>
          <w:tcPr>
            <w:tcW w:type="dxa" w:w="453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Manuscript p. 1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Abstract/summary</w:t>
            </w:r>
          </w:p>
        </w:tc>
        <w:tc>
          <w:tcPr>
            <w:tcW w:type="dxa" w:w="7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7"/>
              </w:rPr>
              <w:t>1b</w:t>
            </w:r>
          </w:p>
        </w:tc>
        <w:tc>
          <w:tcPr>
            <w:tcW w:type="dxa" w:w="79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Apply a structured format, if applicable.</w:t>
            </w:r>
          </w:p>
        </w:tc>
        <w:tc>
          <w:tcPr>
            <w:tcW w:type="dxa" w:w="453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Manuscript pp. 1–2</w:t>
            </w:r>
          </w:p>
        </w:tc>
      </w:tr>
      <w:tr>
        <w:trPr>
          <w:cantSplit/>
        </w:trPr>
        <w:tc>
          <w:tcPr>
            <w:tcW w:type="dxa" w:w="10728"/>
            <w:vAlign w:val="center"/>
            <w:gridSpan w:val="3"/>
            <w:tcMar>
              <w:top w:w="45" w:type="dxa"/>
              <w:start w:w="55" w:type="dxa"/>
              <w:bottom w:w="45" w:type="dxa"/>
              <w:end w:w="55" w:type="dxa"/>
            </w:tcMar>
            <w:shd w:fill="EAF2F8"/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Introduction</w:t>
            </w:r>
          </w:p>
        </w:tc>
        <w:tc>
          <w:tcPr>
            <w:tcW w:type="dxa" w:w="453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EAF2F8"/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Manuscript pp. 2–3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Background</w:t>
            </w:r>
          </w:p>
        </w:tc>
        <w:tc>
          <w:tcPr>
            <w:tcW w:type="dxa" w:w="7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7"/>
              </w:rPr>
              <w:t>2a</w:t>
            </w:r>
          </w:p>
        </w:tc>
        <w:tc>
          <w:tcPr>
            <w:tcW w:type="dxa" w:w="79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State the scientific background, rationale, and healthcare context for evaluating the generative AI-driven chatbot(s), referencing relevant literature when applicable.</w:t>
            </w:r>
          </w:p>
        </w:tc>
        <w:tc>
          <w:tcPr>
            <w:tcW w:type="dxa" w:w="453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Manuscript pp. 2–3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Aims/research questions</w:t>
            </w:r>
          </w:p>
        </w:tc>
        <w:tc>
          <w:tcPr>
            <w:tcW w:type="dxa" w:w="7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7"/>
              </w:rPr>
              <w:t>2b</w:t>
            </w:r>
          </w:p>
        </w:tc>
        <w:tc>
          <w:tcPr>
            <w:tcW w:type="dxa" w:w="79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State the aims and research questions, including the target audience, intervention, comparator(s), and outcome(s).</w:t>
            </w:r>
          </w:p>
        </w:tc>
        <w:tc>
          <w:tcPr>
            <w:tcW w:type="dxa" w:w="453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Manuscript p. 3</w:t>
            </w:r>
          </w:p>
        </w:tc>
      </w:tr>
      <w:tr>
        <w:trPr>
          <w:cantSplit/>
        </w:trPr>
        <w:tc>
          <w:tcPr>
            <w:tcW w:type="dxa" w:w="10728"/>
            <w:vAlign w:val="center"/>
            <w:gridSpan w:val="3"/>
            <w:tcMar>
              <w:top w:w="45" w:type="dxa"/>
              <w:start w:w="55" w:type="dxa"/>
              <w:bottom w:w="45" w:type="dxa"/>
              <w:end w:w="55" w:type="dxa"/>
            </w:tcMar>
            <w:shd w:fill="EAF2F8"/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Methods</w:t>
            </w:r>
          </w:p>
        </w:tc>
        <w:tc>
          <w:tcPr>
            <w:tcW w:type="dxa" w:w="453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EAF2F8"/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Manuscript pp. 4–9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Model identifiers</w:t>
            </w:r>
          </w:p>
        </w:tc>
        <w:tc>
          <w:tcPr>
            <w:tcW w:type="dxa" w:w="7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7"/>
              </w:rPr>
              <w:t>3a</w:t>
            </w:r>
          </w:p>
        </w:tc>
        <w:tc>
          <w:tcPr>
            <w:tcW w:type="dxa" w:w="79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State the name and version identifier(s) of the generative AI model(s) and chatbot(s) under evaluation, as well as their date of release or last update.</w:t>
            </w:r>
          </w:p>
        </w:tc>
        <w:tc>
          <w:tcPr>
            <w:tcW w:type="dxa" w:w="453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Manuscript p. 6; Supplementary Table S2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Model identifiers</w:t>
            </w:r>
          </w:p>
        </w:tc>
        <w:tc>
          <w:tcPr>
            <w:tcW w:type="dxa" w:w="7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7"/>
              </w:rPr>
              <w:t>3b</w:t>
            </w:r>
          </w:p>
        </w:tc>
        <w:tc>
          <w:tcPr>
            <w:tcW w:type="dxa" w:w="79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State whether the generative AI model(s) and chatbot(s) are open-source or closed-source/proprietary.</w:t>
            </w:r>
          </w:p>
        </w:tc>
        <w:tc>
          <w:tcPr>
            <w:tcW w:type="dxa" w:w="453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Manuscript p. 6; Supplementary Table S2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Model details</w:t>
            </w:r>
          </w:p>
        </w:tc>
        <w:tc>
          <w:tcPr>
            <w:tcW w:type="dxa" w:w="7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7"/>
              </w:rPr>
              <w:t>4a</w:t>
            </w:r>
          </w:p>
        </w:tc>
        <w:tc>
          <w:tcPr>
            <w:tcW w:type="dxa" w:w="79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State whether the generative AI model was a base model, novel base model, tuned model, or fine-tuned model.</w:t>
            </w:r>
          </w:p>
        </w:tc>
        <w:tc>
          <w:tcPr>
            <w:tcW w:type="dxa" w:w="453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Manuscript p. 6; Supplementary Table S2 (details reported as not independently verifiable where unavailable)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Model details</w:t>
            </w:r>
          </w:p>
        </w:tc>
        <w:tc>
          <w:tcPr>
            <w:tcW w:type="dxa" w:w="7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7"/>
              </w:rPr>
              <w:t>4b</w:t>
            </w:r>
          </w:p>
        </w:tc>
        <w:tc>
          <w:tcPr>
            <w:tcW w:type="dxa" w:w="79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If a base model is used, cite its development in sufficient detail to identify the model.</w:t>
            </w:r>
          </w:p>
        </w:tc>
        <w:tc>
          <w:tcPr>
            <w:tcW w:type="dxa" w:w="453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Manuscript p. 6; Supplementary Table S2 (provider/UI identifier reported; unavailable underlying details noted)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Model details</w:t>
            </w:r>
          </w:p>
        </w:tc>
        <w:tc>
          <w:tcPr>
            <w:tcW w:type="dxa" w:w="7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7"/>
              </w:rPr>
              <w:t>4c</w:t>
            </w:r>
          </w:p>
        </w:tc>
        <w:tc>
          <w:tcPr>
            <w:tcW w:type="dxa" w:w="79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If a novel base model, tuned model, or fine-tuned model is used, describe the pre- and/or post-implementation/deployment data and parameters.</w:t>
            </w:r>
          </w:p>
        </w:tc>
        <w:tc>
          <w:tcPr>
            <w:tcW w:type="dxa" w:w="453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Manuscript p. 6; Supplementary Table S2 (not publicly disclosed or not independently verifiable where applicable)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Prompt engineering</w:t>
            </w:r>
          </w:p>
        </w:tc>
        <w:tc>
          <w:tcPr>
            <w:tcW w:type="dxa" w:w="7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7"/>
              </w:rPr>
              <w:t>5a</w:t>
            </w:r>
          </w:p>
        </w:tc>
        <w:tc>
          <w:tcPr>
            <w:tcW w:type="dxa" w:w="79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Describe the evolution of study prompt development.</w:t>
            </w:r>
          </w:p>
        </w:tc>
        <w:tc>
          <w:tcPr>
            <w:tcW w:type="dxa" w:w="453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Manuscript pp. 4–6; Supplementary Table S1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Prompt engineering</w:t>
            </w:r>
          </w:p>
        </w:tc>
        <w:tc>
          <w:tcPr>
            <w:tcW w:type="dxa" w:w="7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7"/>
              </w:rPr>
              <w:t>5ai</w:t>
            </w:r>
          </w:p>
        </w:tc>
        <w:tc>
          <w:tcPr>
            <w:tcW w:type="dxa" w:w="79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Describe the sources of prompts.</w:t>
            </w:r>
          </w:p>
        </w:tc>
        <w:tc>
          <w:tcPr>
            <w:tcW w:type="dxa" w:w="453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Manuscript pp. 4–5; Supplementary Table S1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Prompt engineering</w:t>
            </w:r>
          </w:p>
        </w:tc>
        <w:tc>
          <w:tcPr>
            <w:tcW w:type="dxa" w:w="7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7"/>
              </w:rPr>
              <w:t>5aii</w:t>
            </w:r>
          </w:p>
        </w:tc>
        <w:tc>
          <w:tcPr>
            <w:tcW w:type="dxa" w:w="79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State the number and characteristics of the individual(s) involved in prompt engineering.</w:t>
            </w:r>
          </w:p>
        </w:tc>
        <w:tc>
          <w:tcPr>
            <w:tcW w:type="dxa" w:w="453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Manuscript pp. 5–6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Prompt engineering</w:t>
            </w:r>
          </w:p>
        </w:tc>
        <w:tc>
          <w:tcPr>
            <w:tcW w:type="dxa" w:w="7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7"/>
              </w:rPr>
              <w:t>5aiii</w:t>
            </w:r>
          </w:p>
        </w:tc>
        <w:tc>
          <w:tcPr>
            <w:tcW w:type="dxa" w:w="79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Provide details of any patient and public involvement during prompt engineering.</w:t>
            </w:r>
          </w:p>
        </w:tc>
        <w:tc>
          <w:tcPr>
            <w:tcW w:type="dxa" w:w="453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Manuscript pp. 5–6; Supplementary Table S1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Prompt engineering</w:t>
            </w:r>
          </w:p>
        </w:tc>
        <w:tc>
          <w:tcPr>
            <w:tcW w:type="dxa" w:w="7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7"/>
              </w:rPr>
              <w:t>5b</w:t>
            </w:r>
          </w:p>
        </w:tc>
        <w:tc>
          <w:tcPr>
            <w:tcW w:type="dxa" w:w="79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Provide study prompts.</w:t>
            </w:r>
          </w:p>
        </w:tc>
        <w:tc>
          <w:tcPr>
            <w:tcW w:type="dxa" w:w="453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Supplementary Table S4 (50 final prompts)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Query strategy</w:t>
            </w:r>
          </w:p>
        </w:tc>
        <w:tc>
          <w:tcPr>
            <w:tcW w:type="dxa" w:w="7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7"/>
              </w:rPr>
              <w:t>6a</w:t>
            </w:r>
          </w:p>
        </w:tc>
        <w:tc>
          <w:tcPr>
            <w:tcW w:type="dxa" w:w="79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State route of access to the generative AI model.</w:t>
            </w:r>
          </w:p>
        </w:tc>
        <w:tc>
          <w:tcPr>
            <w:tcW w:type="dxa" w:w="453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Manuscript p. 6; Supplementary Table S2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Query strategy</w:t>
            </w:r>
          </w:p>
        </w:tc>
        <w:tc>
          <w:tcPr>
            <w:tcW w:type="dxa" w:w="7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7"/>
              </w:rPr>
              <w:t>6b</w:t>
            </w:r>
          </w:p>
        </w:tc>
        <w:tc>
          <w:tcPr>
            <w:tcW w:type="dxa" w:w="79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State the date(s) and location(s) of queries for the generative AI-driven chatbot(s), including the day, month, and year as well as city and country.</w:t>
            </w:r>
          </w:p>
        </w:tc>
        <w:tc>
          <w:tcPr>
            <w:tcW w:type="dxa" w:w="453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Manuscript p. 6; Supplementary Table S2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Query strategy</w:t>
            </w:r>
          </w:p>
        </w:tc>
        <w:tc>
          <w:tcPr>
            <w:tcW w:type="dxa" w:w="7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7"/>
              </w:rPr>
              <w:t>6c</w:t>
            </w:r>
          </w:p>
        </w:tc>
        <w:tc>
          <w:tcPr>
            <w:tcW w:type="dxa" w:w="79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Describe whether prompts were input into separate chat session(s).</w:t>
            </w:r>
          </w:p>
        </w:tc>
        <w:tc>
          <w:tcPr>
            <w:tcW w:type="dxa" w:w="453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Manuscript pp. 6–7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Query strategy</w:t>
            </w:r>
          </w:p>
        </w:tc>
        <w:tc>
          <w:tcPr>
            <w:tcW w:type="dxa" w:w="7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7"/>
              </w:rPr>
              <w:t>6d</w:t>
            </w:r>
          </w:p>
        </w:tc>
        <w:tc>
          <w:tcPr>
            <w:tcW w:type="dxa" w:w="79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Provide all generative AI-driven chatbot outputs/responses.</w:t>
            </w:r>
          </w:p>
        </w:tc>
        <w:tc>
          <w:tcPr>
            <w:tcW w:type="dxa" w:w="453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Supplementary Table S4; Manuscript pp. 7 and 17 describe the complete 900-output archive as available from the corresponding author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Performance evaluation</w:t>
            </w:r>
          </w:p>
        </w:tc>
        <w:tc>
          <w:tcPr>
            <w:tcW w:type="dxa" w:w="7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7"/>
              </w:rPr>
              <w:t>7a</w:t>
            </w:r>
          </w:p>
        </w:tc>
        <w:tc>
          <w:tcPr>
            <w:tcW w:type="dxa" w:w="79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Define the ground truth or reference standard used to define successful generative AI-driven chatbot performance.</w:t>
            </w:r>
          </w:p>
        </w:tc>
        <w:tc>
          <w:tcPr>
            <w:tcW w:type="dxa" w:w="453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Manuscript p. 6; Supplementary Table S3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Performance evaluation</w:t>
            </w:r>
          </w:p>
        </w:tc>
        <w:tc>
          <w:tcPr>
            <w:tcW w:type="dxa" w:w="7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7"/>
              </w:rPr>
              <w:t>7b</w:t>
            </w:r>
          </w:p>
        </w:tc>
        <w:tc>
          <w:tcPr>
            <w:tcW w:type="dxa" w:w="79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Describe the process undertaken for generative AI-driven chatbot performance evaluation.</w:t>
            </w:r>
          </w:p>
        </w:tc>
        <w:tc>
          <w:tcPr>
            <w:tcW w:type="dxa" w:w="453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Manuscript pp. 7–9; Supplementary Tables S3 and S6–S8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Performance evaluation</w:t>
            </w:r>
          </w:p>
        </w:tc>
        <w:tc>
          <w:tcPr>
            <w:tcW w:type="dxa" w:w="7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7"/>
              </w:rPr>
              <w:t>7bi</w:t>
            </w:r>
          </w:p>
        </w:tc>
        <w:tc>
          <w:tcPr>
            <w:tcW w:type="dxa" w:w="79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State the number and characteristics of team members involved in performance evaluation.</w:t>
            </w:r>
          </w:p>
        </w:tc>
        <w:tc>
          <w:tcPr>
            <w:tcW w:type="dxa" w:w="453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Manuscript p. 7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Performance evaluation</w:t>
            </w:r>
          </w:p>
        </w:tc>
        <w:tc>
          <w:tcPr>
            <w:tcW w:type="dxa" w:w="7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7"/>
              </w:rPr>
              <w:t>7bii</w:t>
            </w:r>
          </w:p>
        </w:tc>
        <w:tc>
          <w:tcPr>
            <w:tcW w:type="dxa" w:w="79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Provide details of any patient and public involvement during the evaluation process.</w:t>
            </w:r>
          </w:p>
        </w:tc>
        <w:tc>
          <w:tcPr>
            <w:tcW w:type="dxa" w:w="453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Manuscript pp. 5–7 (patients contributed to question development but did not rate outputs)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Performance evaluation</w:t>
            </w:r>
          </w:p>
        </w:tc>
        <w:tc>
          <w:tcPr>
            <w:tcW w:type="dxa" w:w="7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7"/>
              </w:rPr>
              <w:t>7biii</w:t>
            </w:r>
          </w:p>
        </w:tc>
        <w:tc>
          <w:tcPr>
            <w:tcW w:type="dxa" w:w="79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State whether evaluators were blinded to the identity of the generative AI-driven chatbot(s) under assessment.</w:t>
            </w:r>
          </w:p>
        </w:tc>
        <w:tc>
          <w:tcPr>
            <w:tcW w:type="dxa" w:w="453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Manuscript p. 7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Sample size</w:t>
            </w:r>
          </w:p>
        </w:tc>
        <w:tc>
          <w:tcPr>
            <w:tcW w:type="dxa" w:w="7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7"/>
              </w:rPr>
              <w:t>8</w:t>
            </w:r>
          </w:p>
        </w:tc>
        <w:tc>
          <w:tcPr>
            <w:tcW w:type="dxa" w:w="79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Report how the sample size was determined.</w:t>
            </w:r>
          </w:p>
        </w:tc>
        <w:tc>
          <w:tcPr>
            <w:tcW w:type="dxa" w:w="453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Manuscript p. 5</w:t>
            </w:r>
          </w:p>
        </w:tc>
      </w:tr>
      <w:tr>
        <w:trPr>
          <w:cantSplit/>
        </w:trPr>
        <w:tc>
          <w:tcPr>
            <w:tcW w:type="dxa" w:w="10728"/>
            <w:vAlign w:val="center"/>
            <w:gridSpan w:val="3"/>
            <w:tcMar>
              <w:top w:w="45" w:type="dxa"/>
              <w:start w:w="55" w:type="dxa"/>
              <w:bottom w:w="45" w:type="dxa"/>
              <w:end w:w="55" w:type="dxa"/>
            </w:tcMar>
            <w:shd w:fill="EAF2F8"/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Data analysis</w:t>
            </w:r>
          </w:p>
        </w:tc>
        <w:tc>
          <w:tcPr>
            <w:tcW w:type="dxa" w:w="453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EAF2F8"/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Manuscript p. 9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Data analysis</w:t>
            </w:r>
          </w:p>
        </w:tc>
        <w:tc>
          <w:tcPr>
            <w:tcW w:type="dxa" w:w="7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7"/>
              </w:rPr>
              <w:t>9a</w:t>
            </w:r>
          </w:p>
        </w:tc>
        <w:tc>
          <w:tcPr>
            <w:tcW w:type="dxa" w:w="79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Describe statistical analysis methods, including any evaluation of reproducibility of generative AI-driven chatbot responses.</w:t>
            </w:r>
          </w:p>
        </w:tc>
        <w:tc>
          <w:tcPr>
            <w:tcW w:type="dxa" w:w="453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Manuscript p. 9; Supplementary Tables S5 and S8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Data analysis</w:t>
            </w:r>
          </w:p>
        </w:tc>
        <w:tc>
          <w:tcPr>
            <w:tcW w:type="dxa" w:w="7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7"/>
              </w:rPr>
              <w:t>9ai</w:t>
            </w:r>
          </w:p>
        </w:tc>
        <w:tc>
          <w:tcPr>
            <w:tcW w:type="dxa" w:w="79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Report the measures used for performance evaluation.</w:t>
            </w:r>
          </w:p>
        </w:tc>
        <w:tc>
          <w:tcPr>
            <w:tcW w:type="dxa" w:w="453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Manuscript pp. 7–9; Supplementary Tables S6–S8</w:t>
            </w:r>
          </w:p>
        </w:tc>
      </w:tr>
      <w:tr>
        <w:trPr>
          <w:cantSplit/>
        </w:trPr>
        <w:tc>
          <w:tcPr>
            <w:tcW w:type="dxa" w:w="10728"/>
            <w:vAlign w:val="center"/>
            <w:gridSpan w:val="3"/>
            <w:tcMar>
              <w:top w:w="45" w:type="dxa"/>
              <w:start w:w="55" w:type="dxa"/>
              <w:bottom w:w="45" w:type="dxa"/>
              <w:end w:w="55" w:type="dxa"/>
            </w:tcMar>
            <w:shd w:fill="EAF2F8"/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Results</w:t>
            </w:r>
          </w:p>
        </w:tc>
        <w:tc>
          <w:tcPr>
            <w:tcW w:type="dxa" w:w="453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EAF2F8"/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Manuscript pp. 9–13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Results</w:t>
            </w:r>
          </w:p>
        </w:tc>
        <w:tc>
          <w:tcPr>
            <w:tcW w:type="dxa" w:w="7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7"/>
              </w:rPr>
              <w:t>10a</w:t>
            </w:r>
          </w:p>
        </w:tc>
        <w:tc>
          <w:tcPr>
            <w:tcW w:type="dxa" w:w="79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Report the performance evaluation undertaken, including the alignment between generative AI-driven chatbot output and the ground truth or reference standard using quantitative or mixed-methods approaches as applicable.</w:t>
            </w:r>
          </w:p>
        </w:tc>
        <w:tc>
          <w:tcPr>
            <w:tcW w:type="dxa" w:w="453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Manuscript pp. 10–13; Supplementary Tables S5, S7 and S8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Results</w:t>
            </w:r>
          </w:p>
        </w:tc>
        <w:tc>
          <w:tcPr>
            <w:tcW w:type="dxa" w:w="7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7"/>
              </w:rPr>
              <w:t>10b</w:t>
            </w:r>
          </w:p>
        </w:tc>
        <w:tc>
          <w:tcPr>
            <w:tcW w:type="dxa" w:w="79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For responses deviating from the ground truth or reference standard, state the nature of the difference(s).</w:t>
            </w:r>
          </w:p>
        </w:tc>
        <w:tc>
          <w:tcPr>
            <w:tcW w:type="dxa" w:w="453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Manuscript pp. 10–12; Supplementary Table S7C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Results</w:t>
            </w:r>
          </w:p>
        </w:tc>
        <w:tc>
          <w:tcPr>
            <w:tcW w:type="dxa" w:w="7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7"/>
              </w:rPr>
              <w:t>10c</w:t>
            </w:r>
          </w:p>
        </w:tc>
        <w:tc>
          <w:tcPr>
            <w:tcW w:type="dxa" w:w="79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Report the evaluation for potentially harmful, biased, or misleading responses.</w:t>
            </w:r>
          </w:p>
        </w:tc>
        <w:tc>
          <w:tcPr>
            <w:tcW w:type="dxa" w:w="453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Manuscript p. 10; Supplementary Table S7</w:t>
            </w:r>
          </w:p>
        </w:tc>
      </w:tr>
      <w:tr>
        <w:trPr>
          <w:cantSplit/>
        </w:trPr>
        <w:tc>
          <w:tcPr>
            <w:tcW w:type="dxa" w:w="10728"/>
            <w:vAlign w:val="center"/>
            <w:gridSpan w:val="3"/>
            <w:tcMar>
              <w:top w:w="45" w:type="dxa"/>
              <w:start w:w="55" w:type="dxa"/>
              <w:bottom w:w="45" w:type="dxa"/>
              <w:end w:w="55" w:type="dxa"/>
            </w:tcMar>
            <w:shd w:fill="EAF2F8"/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Discussion</w:t>
            </w:r>
          </w:p>
        </w:tc>
        <w:tc>
          <w:tcPr>
            <w:tcW w:type="dxa" w:w="453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EAF2F8"/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Manuscript pp. 13–17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Discussion</w:t>
            </w:r>
          </w:p>
        </w:tc>
        <w:tc>
          <w:tcPr>
            <w:tcW w:type="dxa" w:w="7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7"/>
              </w:rPr>
              <w:t>11a</w:t>
            </w:r>
          </w:p>
        </w:tc>
        <w:tc>
          <w:tcPr>
            <w:tcW w:type="dxa" w:w="79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Interpret study findings in the context of relevant evidence.</w:t>
            </w:r>
          </w:p>
        </w:tc>
        <w:tc>
          <w:tcPr>
            <w:tcW w:type="dxa" w:w="453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Manuscript pp. 13–16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Discussion</w:t>
            </w:r>
          </w:p>
        </w:tc>
        <w:tc>
          <w:tcPr>
            <w:tcW w:type="dxa" w:w="7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7"/>
              </w:rPr>
              <w:t>11b</w:t>
            </w:r>
          </w:p>
        </w:tc>
        <w:tc>
          <w:tcPr>
            <w:tcW w:type="dxa" w:w="79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Describe the strengths and limitations of the study.</w:t>
            </w:r>
          </w:p>
        </w:tc>
        <w:tc>
          <w:tcPr>
            <w:tcW w:type="dxa" w:w="453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Manuscript p. 16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Discussion</w:t>
            </w:r>
          </w:p>
        </w:tc>
        <w:tc>
          <w:tcPr>
            <w:tcW w:type="dxa" w:w="7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7"/>
              </w:rPr>
              <w:t>11c</w:t>
            </w:r>
          </w:p>
        </w:tc>
        <w:tc>
          <w:tcPr>
            <w:tcW w:type="dxa" w:w="79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Describe the potential implications for practice, education, policy, regulation, and research.</w:t>
            </w:r>
          </w:p>
        </w:tc>
        <w:tc>
          <w:tcPr>
            <w:tcW w:type="dxa" w:w="453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Manuscript pp. 15–16</w:t>
            </w:r>
          </w:p>
        </w:tc>
      </w:tr>
      <w:tr>
        <w:trPr>
          <w:cantSplit/>
        </w:trPr>
        <w:tc>
          <w:tcPr>
            <w:tcW w:type="dxa" w:w="10728"/>
            <w:vAlign w:val="center"/>
            <w:gridSpan w:val="3"/>
            <w:tcMar>
              <w:top w:w="45" w:type="dxa"/>
              <w:start w:w="55" w:type="dxa"/>
              <w:bottom w:w="45" w:type="dxa"/>
              <w:end w:w="55" w:type="dxa"/>
            </w:tcMar>
            <w:shd w:fill="EAF2F8"/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Open science and declarations</w:t>
            </w:r>
          </w:p>
        </w:tc>
        <w:tc>
          <w:tcPr>
            <w:tcW w:type="dxa" w:w="453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EAF2F8"/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Manuscript p. 17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Disclosures</w:t>
            </w:r>
          </w:p>
        </w:tc>
        <w:tc>
          <w:tcPr>
            <w:tcW w:type="dxa" w:w="7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7"/>
              </w:rPr>
              <w:t>12a</w:t>
            </w:r>
          </w:p>
        </w:tc>
        <w:tc>
          <w:tcPr>
            <w:tcW w:type="dxa" w:w="79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Report any relevant conflicts of interest for all authors.</w:t>
            </w:r>
          </w:p>
        </w:tc>
        <w:tc>
          <w:tcPr>
            <w:tcW w:type="dxa" w:w="453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Manuscript p. 17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Funding</w:t>
            </w:r>
          </w:p>
        </w:tc>
        <w:tc>
          <w:tcPr>
            <w:tcW w:type="dxa" w:w="7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7"/>
              </w:rPr>
              <w:t>12b</w:t>
            </w:r>
          </w:p>
        </w:tc>
        <w:tc>
          <w:tcPr>
            <w:tcW w:type="dxa" w:w="79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Report sources of funding and their role in the conduct and reporting of the study.</w:t>
            </w:r>
          </w:p>
        </w:tc>
        <w:tc>
          <w:tcPr>
            <w:tcW w:type="dxa" w:w="453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Manuscript p. 17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Ethics</w:t>
            </w:r>
          </w:p>
        </w:tc>
        <w:tc>
          <w:tcPr>
            <w:tcW w:type="dxa" w:w="7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7"/>
              </w:rPr>
              <w:t>12c</w:t>
            </w:r>
          </w:p>
        </w:tc>
        <w:tc>
          <w:tcPr>
            <w:tcW w:type="dxa" w:w="79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Describe the process undertaken for ethical approval.</w:t>
            </w:r>
          </w:p>
        </w:tc>
        <w:tc>
          <w:tcPr>
            <w:tcW w:type="dxa" w:w="453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Manuscript pp. 9 and 17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Ethics</w:t>
            </w:r>
          </w:p>
        </w:tc>
        <w:tc>
          <w:tcPr>
            <w:tcW w:type="dxa" w:w="7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7"/>
              </w:rPr>
              <w:t>12ci</w:t>
            </w:r>
          </w:p>
        </w:tc>
        <w:tc>
          <w:tcPr>
            <w:tcW w:type="dxa" w:w="79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Describe the measures taken to safeguard data privacy of patient health information, as applicable.</w:t>
            </w:r>
          </w:p>
        </w:tc>
        <w:tc>
          <w:tcPr>
            <w:tcW w:type="dxa" w:w="453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Manuscript pp. 9 and 17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Ethics/licensing</w:t>
            </w:r>
          </w:p>
        </w:tc>
        <w:tc>
          <w:tcPr>
            <w:tcW w:type="dxa" w:w="7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7"/>
              </w:rPr>
              <w:t>12cii</w:t>
            </w:r>
          </w:p>
        </w:tc>
        <w:tc>
          <w:tcPr>
            <w:tcW w:type="dxa" w:w="79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State whether permission/licensing was obtained for the use of original, copyrighted data.</w:t>
            </w:r>
          </w:p>
        </w:tc>
        <w:tc>
          <w:tcPr>
            <w:tcW w:type="dxa" w:w="453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Manuscript p. 17 (data availability notes platform terms); no third-party figures/images are reproduced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Protocol</w:t>
            </w:r>
          </w:p>
        </w:tc>
        <w:tc>
          <w:tcPr>
            <w:tcW w:type="dxa" w:w="7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7"/>
              </w:rPr>
              <w:t>12d</w:t>
            </w:r>
          </w:p>
        </w:tc>
        <w:tc>
          <w:tcPr>
            <w:tcW w:type="dxa" w:w="79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Provide a study protocol.</w:t>
            </w:r>
          </w:p>
        </w:tc>
        <w:tc>
          <w:tcPr>
            <w:tcW w:type="dxa" w:w="453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No separate protocol document is identified in the submitted manuscript or Supplementary Tables S1–S9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Data availability</w:t>
            </w:r>
          </w:p>
        </w:tc>
        <w:tc>
          <w:tcPr>
            <w:tcW w:type="dxa" w:w="7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7"/>
              </w:rPr>
              <w:t>12e</w:t>
            </w:r>
          </w:p>
        </w:tc>
        <w:tc>
          <w:tcPr>
            <w:tcW w:type="dxa" w:w="799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State where study data, code repository, and model parameters can be accessed.</w:t>
            </w:r>
          </w:p>
        </w:tc>
        <w:tc>
          <w:tcPr>
            <w:tcW w:type="dxa" w:w="453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Lines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Manuscript p. 17; Supplementary Tables S1–S9. No code repository is specified; proprietary model parameters/training data were unavailable</w:t>
            </w:r>
          </w:p>
        </w:tc>
      </w:tr>
    </w:tbl>
    <w:p/>
    <w:p>
      <w:pPr>
        <w:spacing w:after="60"/>
      </w:pPr>
      <w:r>
        <w:rPr>
          <w:b/>
          <w:sz w:val="18"/>
        </w:rPr>
        <w:t>Important reporting note for item 6d.</w:t>
      </w:r>
      <w:r>
        <w:rPr>
          <w:sz w:val="18"/>
        </w:rPr>
        <w:t xml:space="preserve"> The currently submitted Supplementary Table S4 explicitly states that Answer 1 reproduces the original chatbot response, whereas Answers 2 and 3 are teaching-only simulated paraphrases. Therefore, S4 should not be described as the complete set of 900 original chatbot-generated outputs unless Answers 2 and 3 are replaced with the authentic archived responses. The current manuscript instead states that the complete 900-output archive is available from the corresponding author.</w:t>
      </w:r>
    </w:p>
    <w:p>
      <w:pPr>
        <w:spacing w:after="60"/>
      </w:pPr>
      <w:r>
        <w:rPr>
          <w:b/>
          <w:sz w:val="18"/>
        </w:rPr>
        <w:t>Protocol note for item 12d.</w:t>
      </w:r>
      <w:r>
        <w:rPr>
          <w:sz w:val="18"/>
        </w:rPr>
        <w:t xml:space="preserve"> No separate study protocol document is identified in the manuscript or Supplementary Tables S1–S9; the checklist therefore reports this transparently rather than assigning an unsupported page location.</w:t>
      </w:r>
    </w:p>
    <w:p>
      <w:pPr>
        <w:spacing w:after="0"/>
      </w:pPr>
      <w:r>
        <w:rPr>
          <w:sz w:val="17"/>
        </w:rPr>
        <w:t>Abbreviations: AI, artificial intelligence; BH, Benjamini–Hochberg; CHART, Chatbot Assessment Reporting Tool; EQIP, Ensuring Quality Information for Patients; GQS, Global Quality Score; JAMA, Journal of the American Medical Association benchmark criteria.</w:t>
      </w:r>
    </w:p>
    <w:sectPr w:rsidR="00FC693F" w:rsidRPr="0006063C" w:rsidSect="00034616">
      <w:pgSz w:w="15840" w:h="12240" w:orient="landscape"/>
      <w:pgMar w:top="792" w:right="792" w:bottom="792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