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1474" w:rsidRDefault="009E1474"/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658"/>
        <w:gridCol w:w="779"/>
        <w:gridCol w:w="2676"/>
        <w:gridCol w:w="779"/>
        <w:gridCol w:w="2085"/>
        <w:gridCol w:w="779"/>
      </w:tblGrid>
      <w:tr w:rsidR="00CA5812" w:rsidRPr="00CA5812" w:rsidTr="00C74E86">
        <w:trPr>
          <w:jc w:val="center"/>
        </w:trPr>
        <w:tc>
          <w:tcPr>
            <w:tcW w:w="12024" w:type="dxa"/>
            <w:gridSpan w:val="7"/>
            <w:tcBorders>
              <w:bottom w:val="single" w:sz="18" w:space="0" w:color="auto"/>
            </w:tcBorders>
            <w:vAlign w:val="center"/>
          </w:tcPr>
          <w:p w:rsidR="00CA5812" w:rsidRPr="00CA5812" w:rsidRDefault="00964D73" w:rsidP="00964D73">
            <w:pPr>
              <w:spacing w:before="60" w:after="60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Supplementary </w:t>
            </w:r>
            <w:r w:rsidR="00CA5812" w:rsidRPr="00CA5812">
              <w:rPr>
                <w:rFonts w:ascii="Times New Roman" w:hAnsi="Times New Roman" w:cs="Times New Roman"/>
                <w:b/>
                <w:szCs w:val="20"/>
              </w:rPr>
              <w:t>Table S</w:t>
            </w:r>
            <w:r w:rsidR="00B534A6">
              <w:rPr>
                <w:rFonts w:ascii="Times New Roman" w:hAnsi="Times New Roman" w:cs="Times New Roman"/>
                <w:b/>
                <w:szCs w:val="20"/>
              </w:rPr>
              <w:t>7</w:t>
            </w:r>
            <w:r w:rsidR="00CA5812" w:rsidRPr="00CA5812">
              <w:rPr>
                <w:rFonts w:ascii="Times New Roman" w:hAnsi="Times New Roman" w:cs="Times New Roman"/>
                <w:b/>
                <w:szCs w:val="20"/>
              </w:rPr>
              <w:t xml:space="preserve">. </w:t>
            </w:r>
            <w:r w:rsidR="00CA5812" w:rsidRPr="00CA5812">
              <w:rPr>
                <w:rFonts w:ascii="Times New Roman" w:hAnsi="Times New Roman" w:cs="Times New Roman"/>
                <w:bCs/>
                <w:szCs w:val="20"/>
              </w:rPr>
              <w:t>Sensitivity Cox models evaluating CFS and CCI separately and together</w:t>
            </w:r>
          </w:p>
        </w:tc>
      </w:tr>
      <w:tr w:rsidR="00CA5812" w:rsidRPr="00CA5812" w:rsidTr="00C74E86">
        <w:trPr>
          <w:jc w:val="center"/>
        </w:trPr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Predictor</w:t>
            </w:r>
          </w:p>
        </w:tc>
        <w:tc>
          <w:tcPr>
            <w:tcW w:w="265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Model A: CFS without CCI</w:t>
            </w:r>
            <w:r w:rsidRPr="00CA5812">
              <w:rPr>
                <w:rFonts w:ascii="Times New Roman" w:hAnsi="Times New Roman" w:cs="Times New Roman"/>
                <w:b/>
                <w:szCs w:val="20"/>
              </w:rPr>
              <w:br/>
              <w:t>aHR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p value</w:t>
            </w:r>
          </w:p>
        </w:tc>
        <w:tc>
          <w:tcPr>
            <w:tcW w:w="26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Model B: CCI without CFS</w:t>
            </w:r>
            <w:r w:rsidRPr="00CA5812">
              <w:rPr>
                <w:rFonts w:ascii="Times New Roman" w:hAnsi="Times New Roman" w:cs="Times New Roman"/>
                <w:b/>
                <w:szCs w:val="20"/>
              </w:rPr>
              <w:br/>
              <w:t>aHR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p value</w:t>
            </w:r>
          </w:p>
        </w:tc>
        <w:tc>
          <w:tcPr>
            <w:tcW w:w="20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Model C: CFS + CCI</w:t>
            </w:r>
            <w:r w:rsidRPr="00CA5812">
              <w:rPr>
                <w:rFonts w:ascii="Times New Roman" w:hAnsi="Times New Roman" w:cs="Times New Roman"/>
                <w:b/>
                <w:szCs w:val="20"/>
              </w:rPr>
              <w:br/>
              <w:t>aHR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E1474" w:rsidRPr="00CA5812" w:rsidRDefault="00000000" w:rsidP="00964D73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b/>
                <w:szCs w:val="20"/>
              </w:rPr>
              <w:t>p value</w:t>
            </w:r>
          </w:p>
        </w:tc>
      </w:tr>
      <w:tr w:rsidR="00174CA5" w:rsidRPr="00CA5812" w:rsidTr="00C74E86">
        <w:trPr>
          <w:jc w:val="center"/>
        </w:trPr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:rsidR="00174CA5" w:rsidRPr="00964D73" w:rsidRDefault="00174CA5" w:rsidP="00174CA5">
            <w:pPr>
              <w:spacing w:before="60" w:after="6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4D73">
              <w:rPr>
                <w:rFonts w:ascii="Times New Roman" w:hAnsi="Times New Roman" w:cs="Times New Roman"/>
                <w:b/>
                <w:bCs/>
                <w:szCs w:val="20"/>
              </w:rPr>
              <w:t>Age (per year)</w:t>
            </w:r>
          </w:p>
        </w:tc>
        <w:tc>
          <w:tcPr>
            <w:tcW w:w="2658" w:type="dxa"/>
            <w:tcBorders>
              <w:top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0.998 (0.987–1.010)</w:t>
            </w:r>
          </w:p>
        </w:tc>
        <w:tc>
          <w:tcPr>
            <w:tcW w:w="779" w:type="dxa"/>
            <w:tcBorders>
              <w:top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0.775</w:t>
            </w:r>
          </w:p>
        </w:tc>
        <w:tc>
          <w:tcPr>
            <w:tcW w:w="2676" w:type="dxa"/>
            <w:tcBorders>
              <w:top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1.003 (0.992–1.014)</w:t>
            </w:r>
          </w:p>
        </w:tc>
        <w:tc>
          <w:tcPr>
            <w:tcW w:w="779" w:type="dxa"/>
            <w:tcBorders>
              <w:top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0.578</w:t>
            </w:r>
          </w:p>
        </w:tc>
        <w:tc>
          <w:tcPr>
            <w:tcW w:w="2085" w:type="dxa"/>
            <w:tcBorders>
              <w:top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0.998 (0.987–1.009)</w:t>
            </w:r>
          </w:p>
        </w:tc>
        <w:tc>
          <w:tcPr>
            <w:tcW w:w="779" w:type="dxa"/>
            <w:tcBorders>
              <w:top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0.705</w:t>
            </w:r>
          </w:p>
        </w:tc>
      </w:tr>
      <w:tr w:rsidR="00174CA5" w:rsidRPr="00CA5812" w:rsidTr="00C74E86">
        <w:trPr>
          <w:jc w:val="center"/>
        </w:trPr>
        <w:tc>
          <w:tcPr>
            <w:tcW w:w="2268" w:type="dxa"/>
            <w:vAlign w:val="center"/>
          </w:tcPr>
          <w:p w:rsidR="00174CA5" w:rsidRPr="00964D73" w:rsidRDefault="00174CA5" w:rsidP="00174CA5">
            <w:pPr>
              <w:spacing w:before="60" w:after="6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4D73">
              <w:rPr>
                <w:rFonts w:ascii="Times New Roman" w:hAnsi="Times New Roman" w:cs="Times New Roman"/>
                <w:b/>
                <w:bCs/>
                <w:szCs w:val="20"/>
              </w:rPr>
              <w:t>Sex (female vs male)</w:t>
            </w:r>
          </w:p>
        </w:tc>
        <w:tc>
          <w:tcPr>
            <w:tcW w:w="2658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0.860 (0.720–1.028)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0.098</w:t>
            </w:r>
          </w:p>
        </w:tc>
        <w:tc>
          <w:tcPr>
            <w:tcW w:w="2676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0.906 (0.758–1.082)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0.277</w:t>
            </w:r>
          </w:p>
        </w:tc>
        <w:tc>
          <w:tcPr>
            <w:tcW w:w="2085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0.874 (0.731–1.045)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0.139</w:t>
            </w:r>
          </w:p>
        </w:tc>
      </w:tr>
      <w:tr w:rsidR="00174CA5" w:rsidRPr="00CA5812" w:rsidTr="00C74E86">
        <w:trPr>
          <w:jc w:val="center"/>
        </w:trPr>
        <w:tc>
          <w:tcPr>
            <w:tcW w:w="2268" w:type="dxa"/>
            <w:vAlign w:val="center"/>
          </w:tcPr>
          <w:p w:rsidR="00174CA5" w:rsidRPr="00964D73" w:rsidRDefault="00174CA5" w:rsidP="00174CA5">
            <w:pPr>
              <w:spacing w:before="60" w:after="6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4D73">
              <w:rPr>
                <w:rFonts w:ascii="Times New Roman" w:hAnsi="Times New Roman" w:cs="Times New Roman"/>
                <w:b/>
                <w:bCs/>
                <w:szCs w:val="20"/>
              </w:rPr>
              <w:t>SOFA score (per point)</w:t>
            </w:r>
          </w:p>
        </w:tc>
        <w:tc>
          <w:tcPr>
            <w:tcW w:w="2658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1.189 (1.160–1.219)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&lt;0.001</w:t>
            </w:r>
          </w:p>
        </w:tc>
        <w:tc>
          <w:tcPr>
            <w:tcW w:w="2676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1.203 (1.174–1.233)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&lt;0.001</w:t>
            </w:r>
          </w:p>
        </w:tc>
        <w:tc>
          <w:tcPr>
            <w:tcW w:w="2085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1.182 (1.152–1.212)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&lt;0.001</w:t>
            </w:r>
          </w:p>
        </w:tc>
      </w:tr>
      <w:tr w:rsidR="00174CA5" w:rsidRPr="00CA5812" w:rsidTr="00C74E86">
        <w:trPr>
          <w:jc w:val="center"/>
        </w:trPr>
        <w:tc>
          <w:tcPr>
            <w:tcW w:w="2268" w:type="dxa"/>
            <w:vAlign w:val="center"/>
          </w:tcPr>
          <w:p w:rsidR="00174CA5" w:rsidRPr="00964D73" w:rsidRDefault="00174CA5" w:rsidP="00174CA5">
            <w:pPr>
              <w:spacing w:before="60" w:after="6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4D73">
              <w:rPr>
                <w:rFonts w:ascii="Times New Roman" w:hAnsi="Times New Roman" w:cs="Times New Roman"/>
                <w:b/>
                <w:bCs/>
                <w:szCs w:val="20"/>
              </w:rPr>
              <w:t>CFS (per point)</w:t>
            </w:r>
          </w:p>
        </w:tc>
        <w:tc>
          <w:tcPr>
            <w:tcW w:w="2658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1.202 (1.141–1.266)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&lt;0.001</w:t>
            </w:r>
          </w:p>
        </w:tc>
        <w:tc>
          <w:tcPr>
            <w:tcW w:w="2676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2085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1.190 (1.129–1.255)</w:t>
            </w:r>
          </w:p>
        </w:tc>
        <w:tc>
          <w:tcPr>
            <w:tcW w:w="779" w:type="dxa"/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&lt;0.001</w:t>
            </w:r>
          </w:p>
        </w:tc>
      </w:tr>
      <w:tr w:rsidR="00174CA5" w:rsidRPr="00CA5812" w:rsidTr="00C74E86">
        <w:trPr>
          <w:jc w:val="center"/>
        </w:trPr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:rsidR="00174CA5" w:rsidRPr="00964D73" w:rsidRDefault="00174CA5" w:rsidP="00174CA5">
            <w:pPr>
              <w:spacing w:before="60" w:after="6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4D73">
              <w:rPr>
                <w:rFonts w:ascii="Times New Roman" w:hAnsi="Times New Roman" w:cs="Times New Roman"/>
                <w:b/>
                <w:bCs/>
                <w:szCs w:val="20"/>
              </w:rPr>
              <w:t>CCI (per point)</w:t>
            </w:r>
          </w:p>
        </w:tc>
        <w:tc>
          <w:tcPr>
            <w:tcW w:w="2658" w:type="dxa"/>
            <w:tcBorders>
              <w:bottom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2676" w:type="dxa"/>
            <w:tcBorders>
              <w:bottom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1.053 (1.023–1.083)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&lt;0.001</w:t>
            </w:r>
          </w:p>
        </w:tc>
        <w:tc>
          <w:tcPr>
            <w:tcW w:w="2085" w:type="dxa"/>
            <w:tcBorders>
              <w:bottom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1.034 (1.005–1.064)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174CA5" w:rsidRPr="00174CA5" w:rsidRDefault="00174CA5" w:rsidP="00174CA5">
            <w:pPr>
              <w:spacing w:before="60" w:after="60"/>
              <w:jc w:val="center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/>
              </w:rPr>
              <w:t>0.021</w:t>
            </w:r>
          </w:p>
        </w:tc>
      </w:tr>
      <w:tr w:rsidR="00CA5812" w:rsidRPr="00CA5812" w:rsidTr="00C74E86">
        <w:trPr>
          <w:jc w:val="center"/>
        </w:trPr>
        <w:tc>
          <w:tcPr>
            <w:tcW w:w="12024" w:type="dxa"/>
            <w:gridSpan w:val="7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A5812" w:rsidRPr="00CA5812" w:rsidRDefault="00CA5812" w:rsidP="00964D73">
            <w:pPr>
              <w:spacing w:before="60" w:after="60"/>
              <w:jc w:val="both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szCs w:val="20"/>
              </w:rPr>
              <w:t>aHR: adjusted hazard ratio; CI: confidence interval; CFS: Clinical Frailty Scale; CCI: Charlson Comorbidity Index; SOFA: Sequential Organ Failure Assessment.</w:t>
            </w:r>
          </w:p>
          <w:p w:rsidR="00C74E86" w:rsidRDefault="00CA5812" w:rsidP="00964D73">
            <w:pPr>
              <w:spacing w:before="60" w:after="60"/>
              <w:jc w:val="both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szCs w:val="20"/>
              </w:rPr>
              <w:t xml:space="preserve">Model A included age, sex, SOFA score and CFS. </w:t>
            </w:r>
          </w:p>
          <w:p w:rsidR="00C74E86" w:rsidRDefault="00CA5812" w:rsidP="00964D73">
            <w:pPr>
              <w:spacing w:before="60" w:after="60"/>
              <w:jc w:val="both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szCs w:val="20"/>
              </w:rPr>
              <w:t xml:space="preserve">Model B included age, sex, SOFA score and CCI. </w:t>
            </w:r>
          </w:p>
          <w:p w:rsidR="00CA5812" w:rsidRDefault="00CA5812" w:rsidP="00964D73">
            <w:pPr>
              <w:spacing w:before="60" w:after="60"/>
              <w:jc w:val="both"/>
              <w:rPr>
                <w:rFonts w:ascii="Times New Roman" w:hAnsi="Times New Roman" w:cs="Times New Roman"/>
                <w:szCs w:val="20"/>
              </w:rPr>
            </w:pPr>
            <w:r w:rsidRPr="00CA5812">
              <w:rPr>
                <w:rFonts w:ascii="Times New Roman" w:hAnsi="Times New Roman" w:cs="Times New Roman"/>
                <w:szCs w:val="20"/>
              </w:rPr>
              <w:t>Model C included age, sex, SOFA score, CFS and CCI.</w:t>
            </w:r>
          </w:p>
          <w:p w:rsidR="00174CA5" w:rsidRDefault="00174CA5" w:rsidP="00964D73">
            <w:pPr>
              <w:spacing w:before="60" w:after="60"/>
              <w:jc w:val="both"/>
              <w:rPr>
                <w:rFonts w:ascii="Times New Roman" w:hAnsi="Times New Roman" w:cs="Times New Roman"/>
                <w:szCs w:val="20"/>
              </w:rPr>
            </w:pPr>
            <w:r w:rsidRPr="00174CA5">
              <w:rPr>
                <w:rFonts w:ascii="Times New Roman" w:hAnsi="Times New Roman" w:cs="Times New Roman"/>
                <w:szCs w:val="20"/>
              </w:rPr>
              <w:t>All models used a time origin of 48 hours after ICU admission; patients alive at day 30 were administratively censored at landmark day 28. Tied event times were handled using the Breslow method.</w:t>
            </w:r>
          </w:p>
          <w:p w:rsidR="00CE0A82" w:rsidRPr="00CA5812" w:rsidRDefault="00CE0A82" w:rsidP="00964D73">
            <w:pPr>
              <w:spacing w:before="60" w:after="60"/>
              <w:jc w:val="both"/>
              <w:rPr>
                <w:rFonts w:ascii="Times New Roman" w:hAnsi="Times New Roman" w:cs="Times New Roman"/>
                <w:szCs w:val="20"/>
              </w:rPr>
            </w:pPr>
            <w:r w:rsidRPr="00CE0A82">
              <w:rPr>
                <w:rFonts w:ascii="Times New Roman" w:hAnsi="Times New Roman" w:cs="Times New Roman"/>
                <w:szCs w:val="20"/>
              </w:rPr>
              <w:t>Confidence intervals and p values were based on conventional model-based variance estimates; centre-clustered robust sandwich variance estimates were not used.</w:t>
            </w:r>
          </w:p>
        </w:tc>
      </w:tr>
    </w:tbl>
    <w:p w:rsidR="009E1474" w:rsidRDefault="009E1474" w:rsidP="00CA5812">
      <w:pPr>
        <w:spacing w:before="120" w:after="0"/>
      </w:pPr>
    </w:p>
    <w:sectPr w:rsidR="009E1474" w:rsidSect="00CA5812">
      <w:pgSz w:w="15840" w:h="12240" w:orient="landscape"/>
      <w:pgMar w:top="864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6874" w:rsidRDefault="00396874" w:rsidP="00CA5812">
      <w:pPr>
        <w:spacing w:after="0" w:line="240" w:lineRule="auto"/>
      </w:pPr>
      <w:r>
        <w:separator/>
      </w:r>
    </w:p>
  </w:endnote>
  <w:endnote w:type="continuationSeparator" w:id="0">
    <w:p w:rsidR="00396874" w:rsidRDefault="00396874" w:rsidP="00CA5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6874" w:rsidRDefault="00396874" w:rsidP="00CA5812">
      <w:pPr>
        <w:spacing w:after="0" w:line="240" w:lineRule="auto"/>
      </w:pPr>
      <w:r>
        <w:separator/>
      </w:r>
    </w:p>
  </w:footnote>
  <w:footnote w:type="continuationSeparator" w:id="0">
    <w:p w:rsidR="00396874" w:rsidRDefault="00396874" w:rsidP="00CA5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5606401">
    <w:abstractNumId w:val="8"/>
  </w:num>
  <w:num w:numId="2" w16cid:durableId="1244993008">
    <w:abstractNumId w:val="6"/>
  </w:num>
  <w:num w:numId="3" w16cid:durableId="490679759">
    <w:abstractNumId w:val="5"/>
  </w:num>
  <w:num w:numId="4" w16cid:durableId="849754700">
    <w:abstractNumId w:val="4"/>
  </w:num>
  <w:num w:numId="5" w16cid:durableId="1184056854">
    <w:abstractNumId w:val="7"/>
  </w:num>
  <w:num w:numId="6" w16cid:durableId="1885023785">
    <w:abstractNumId w:val="3"/>
  </w:num>
  <w:num w:numId="7" w16cid:durableId="591940541">
    <w:abstractNumId w:val="2"/>
  </w:num>
  <w:num w:numId="8" w16cid:durableId="1598518460">
    <w:abstractNumId w:val="1"/>
  </w:num>
  <w:num w:numId="9" w16cid:durableId="868178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CA5"/>
    <w:rsid w:val="0018338D"/>
    <w:rsid w:val="0029639D"/>
    <w:rsid w:val="002E5450"/>
    <w:rsid w:val="00326F90"/>
    <w:rsid w:val="003836C9"/>
    <w:rsid w:val="00396874"/>
    <w:rsid w:val="003B64A0"/>
    <w:rsid w:val="0067756A"/>
    <w:rsid w:val="008B45F6"/>
    <w:rsid w:val="00964D73"/>
    <w:rsid w:val="009E1474"/>
    <w:rsid w:val="00AA1D8D"/>
    <w:rsid w:val="00B47730"/>
    <w:rsid w:val="00B534A6"/>
    <w:rsid w:val="00C47AE3"/>
    <w:rsid w:val="00C514A2"/>
    <w:rsid w:val="00C74E86"/>
    <w:rsid w:val="00CA5812"/>
    <w:rsid w:val="00CB0664"/>
    <w:rsid w:val="00CE0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DFC36"/>
  <w14:defaultImageDpi w14:val="300"/>
  <w15:docId w15:val="{55C023AB-AF00-7F49-BDEA-11459C84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Umut Kasapoğlu</cp:lastModifiedBy>
  <cp:revision>3</cp:revision>
  <dcterms:created xsi:type="dcterms:W3CDTF">2026-08-12T22:25:00Z</dcterms:created>
  <dcterms:modified xsi:type="dcterms:W3CDTF">2026-08-13T08:56:00Z</dcterms:modified>
  <cp:category/>
</cp:coreProperties>
</file>