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260"/>
        <w:gridCol w:w="1276"/>
        <w:gridCol w:w="992"/>
        <w:gridCol w:w="3261"/>
        <w:gridCol w:w="1275"/>
        <w:gridCol w:w="958"/>
      </w:tblGrid>
      <w:tr w:rsidR="00077103" w:rsidRPr="007850E0" w:rsidTr="00077103">
        <w:tc>
          <w:tcPr>
            <w:tcW w:w="13994" w:type="dxa"/>
            <w:gridSpan w:val="7"/>
            <w:tcBorders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Supplementary Table S</w:t>
            </w:r>
            <w:r w:rsidR="00562D0E"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7850E0">
              <w:rPr>
                <w:rFonts w:ascii="Times New Roman" w:hAnsi="Times New Roman" w:cs="Times New Roman"/>
                <w:sz w:val="20"/>
                <w:szCs w:val="20"/>
              </w:rPr>
              <w:t xml:space="preserve"> Mixed-effects Cox models including ICU centre as a random effect for 30-day all-cause mortality</w:t>
            </w:r>
          </w:p>
        </w:tc>
      </w:tr>
      <w:tr w:rsidR="00077103" w:rsidRPr="007850E0" w:rsidTr="00077103">
        <w:tc>
          <w:tcPr>
            <w:tcW w:w="2972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 mixed-effects model aHR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261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Extended mixed-effects model aHR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58" w:type="dxa"/>
            <w:tcBorders>
              <w:top w:val="single" w:sz="18" w:space="0" w:color="auto"/>
              <w:bottom w:val="single" w:sz="18" w:space="0" w:color="auto"/>
            </w:tcBorders>
          </w:tcPr>
          <w:p w:rsidR="00077103" w:rsidRPr="007850E0" w:rsidRDefault="00077103" w:rsidP="000771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50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7850E0" w:rsidRPr="007850E0" w:rsidTr="00077103">
        <w:tc>
          <w:tcPr>
            <w:tcW w:w="2972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Age, per year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0.999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0.987–1.010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0.828</w:t>
            </w:r>
          </w:p>
        </w:tc>
        <w:tc>
          <w:tcPr>
            <w:tcW w:w="3261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0.999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0.988–1.011</w:t>
            </w:r>
          </w:p>
        </w:tc>
        <w:tc>
          <w:tcPr>
            <w:tcW w:w="958" w:type="dxa"/>
            <w:tcBorders>
              <w:top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0.871</w:t>
            </w:r>
          </w:p>
        </w:tc>
      </w:tr>
      <w:tr w:rsidR="007850E0" w:rsidRPr="007850E0" w:rsidTr="00077103">
        <w:tc>
          <w:tcPr>
            <w:tcW w:w="2972" w:type="dxa"/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Sex, female vs male</w:t>
            </w:r>
          </w:p>
        </w:tc>
        <w:tc>
          <w:tcPr>
            <w:tcW w:w="3260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0.905</w:t>
            </w:r>
          </w:p>
        </w:tc>
        <w:tc>
          <w:tcPr>
            <w:tcW w:w="1276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0.754–1.086</w:t>
            </w:r>
          </w:p>
        </w:tc>
        <w:tc>
          <w:tcPr>
            <w:tcW w:w="992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0.283</w:t>
            </w:r>
          </w:p>
        </w:tc>
        <w:tc>
          <w:tcPr>
            <w:tcW w:w="3261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0.915</w:t>
            </w:r>
          </w:p>
        </w:tc>
        <w:tc>
          <w:tcPr>
            <w:tcW w:w="1275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0.762–1.099</w:t>
            </w:r>
          </w:p>
        </w:tc>
        <w:tc>
          <w:tcPr>
            <w:tcW w:w="958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0.344</w:t>
            </w:r>
          </w:p>
        </w:tc>
      </w:tr>
      <w:tr w:rsidR="007850E0" w:rsidRPr="007850E0" w:rsidTr="00077103">
        <w:tc>
          <w:tcPr>
            <w:tcW w:w="2972" w:type="dxa"/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CFS, per point</w:t>
            </w:r>
          </w:p>
        </w:tc>
        <w:tc>
          <w:tcPr>
            <w:tcW w:w="3260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1.188</w:t>
            </w:r>
          </w:p>
        </w:tc>
        <w:tc>
          <w:tcPr>
            <w:tcW w:w="1276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1.125–1.255</w:t>
            </w:r>
          </w:p>
        </w:tc>
        <w:tc>
          <w:tcPr>
            <w:tcW w:w="992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3261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1.184</w:t>
            </w:r>
          </w:p>
        </w:tc>
        <w:tc>
          <w:tcPr>
            <w:tcW w:w="1275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1.121–1.250</w:t>
            </w:r>
          </w:p>
        </w:tc>
        <w:tc>
          <w:tcPr>
            <w:tcW w:w="958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7850E0" w:rsidRPr="007850E0" w:rsidTr="00077103">
        <w:tc>
          <w:tcPr>
            <w:tcW w:w="2972" w:type="dxa"/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SOFA score, per point</w:t>
            </w:r>
          </w:p>
        </w:tc>
        <w:tc>
          <w:tcPr>
            <w:tcW w:w="3260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1.187</w:t>
            </w:r>
          </w:p>
        </w:tc>
        <w:tc>
          <w:tcPr>
            <w:tcW w:w="1276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1.155–1.219</w:t>
            </w:r>
          </w:p>
        </w:tc>
        <w:tc>
          <w:tcPr>
            <w:tcW w:w="992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3261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1.162</w:t>
            </w:r>
          </w:p>
        </w:tc>
        <w:tc>
          <w:tcPr>
            <w:tcW w:w="1275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1.125–1.201</w:t>
            </w:r>
          </w:p>
        </w:tc>
        <w:tc>
          <w:tcPr>
            <w:tcW w:w="958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7850E0" w:rsidRPr="007850E0" w:rsidTr="00077103">
        <w:tc>
          <w:tcPr>
            <w:tcW w:w="2972" w:type="dxa"/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CCI, per point</w:t>
            </w:r>
          </w:p>
        </w:tc>
        <w:tc>
          <w:tcPr>
            <w:tcW w:w="3260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1.045</w:t>
            </w:r>
          </w:p>
        </w:tc>
        <w:tc>
          <w:tcPr>
            <w:tcW w:w="1276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1.013–1.078</w:t>
            </w:r>
          </w:p>
        </w:tc>
        <w:tc>
          <w:tcPr>
            <w:tcW w:w="992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0.005</w:t>
            </w:r>
          </w:p>
        </w:tc>
        <w:tc>
          <w:tcPr>
            <w:tcW w:w="3261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1.045</w:t>
            </w:r>
          </w:p>
        </w:tc>
        <w:tc>
          <w:tcPr>
            <w:tcW w:w="1275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1.013–1.078</w:t>
            </w:r>
          </w:p>
        </w:tc>
        <w:tc>
          <w:tcPr>
            <w:tcW w:w="958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0.006</w:t>
            </w:r>
          </w:p>
        </w:tc>
      </w:tr>
      <w:tr w:rsidR="007850E0" w:rsidRPr="007850E0" w:rsidTr="00077103">
        <w:tc>
          <w:tcPr>
            <w:tcW w:w="2972" w:type="dxa"/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APACHE II score, per point</w:t>
            </w:r>
          </w:p>
        </w:tc>
        <w:tc>
          <w:tcPr>
            <w:tcW w:w="3260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  <w:tc>
          <w:tcPr>
            <w:tcW w:w="1276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  <w:tc>
          <w:tcPr>
            <w:tcW w:w="992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  <w:tc>
          <w:tcPr>
            <w:tcW w:w="3261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1.019</w:t>
            </w:r>
          </w:p>
        </w:tc>
        <w:tc>
          <w:tcPr>
            <w:tcW w:w="1275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1.003–1.035</w:t>
            </w:r>
          </w:p>
        </w:tc>
        <w:tc>
          <w:tcPr>
            <w:tcW w:w="958" w:type="dxa"/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0.022</w:t>
            </w:r>
          </w:p>
        </w:tc>
      </w:tr>
      <w:tr w:rsidR="007850E0" w:rsidRPr="007850E0" w:rsidTr="00077103">
        <w:tc>
          <w:tcPr>
            <w:tcW w:w="2972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Centre-level variance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0.148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  <w:tc>
          <w:tcPr>
            <w:tcW w:w="3261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0.164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  <w:tc>
          <w:tcPr>
            <w:tcW w:w="958" w:type="dxa"/>
            <w:tcBorders>
              <w:bottom w:val="single" w:sz="18" w:space="0" w:color="auto"/>
            </w:tcBorders>
            <w:vAlign w:val="center"/>
          </w:tcPr>
          <w:p w:rsidR="007850E0" w:rsidRPr="007850E0" w:rsidRDefault="007850E0" w:rsidP="007850E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50E0">
              <w:rPr>
                <w:rFonts w:ascii="Times New Roman" w:hAnsi="Times New Roman" w:cs="Times New Roman"/>
                <w:sz w:val="18"/>
              </w:rPr>
              <w:t>—</w:t>
            </w:r>
          </w:p>
        </w:tc>
      </w:tr>
      <w:tr w:rsidR="00077103" w:rsidRPr="007850E0" w:rsidTr="00077103">
        <w:tc>
          <w:tcPr>
            <w:tcW w:w="13994" w:type="dxa"/>
            <w:gridSpan w:val="7"/>
            <w:tcBorders>
              <w:top w:val="single" w:sz="18" w:space="0" w:color="auto"/>
              <w:bottom w:val="single" w:sz="18" w:space="0" w:color="auto"/>
            </w:tcBorders>
          </w:tcPr>
          <w:p w:rsidR="007850E0" w:rsidRPr="007850E0" w:rsidRDefault="007850E0" w:rsidP="007850E0">
            <w:pPr>
              <w:spacing w:before="60"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50E0">
              <w:rPr>
                <w:rFonts w:ascii="Times New Roman" w:hAnsi="Times New Roman" w:cs="Times New Roman"/>
                <w:sz w:val="18"/>
                <w:szCs w:val="18"/>
              </w:rPr>
              <w:t>aHR: adjusted hazard ratio; CI: confidence interval; CFS: Clinical Frailty Scale; SOFA: Sequential Organ Failure Assessment; CCI: Charlson Comorbidity Index; APACHE II: Acute Physiology and Chronic Health Evaluation II.</w:t>
            </w:r>
          </w:p>
          <w:p w:rsidR="007850E0" w:rsidRPr="007850E0" w:rsidRDefault="007850E0" w:rsidP="007850E0">
            <w:pPr>
              <w:spacing w:before="60"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50E0">
              <w:rPr>
                <w:rFonts w:ascii="Times New Roman" w:hAnsi="Times New Roman" w:cs="Times New Roman"/>
                <w:sz w:val="18"/>
                <w:szCs w:val="18"/>
              </w:rPr>
              <w:t>The primary mixed-effects model included age, sex, CFS, SOFA, CCI and ICU centre as a random effect/shared-frailty term. The extended model additionally included APACHE II.</w:t>
            </w:r>
          </w:p>
          <w:p w:rsidR="007850E0" w:rsidRPr="007850E0" w:rsidRDefault="007850E0" w:rsidP="007850E0">
            <w:pPr>
              <w:spacing w:before="60" w:after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50E0">
              <w:rPr>
                <w:rFonts w:ascii="Times New Roman" w:hAnsi="Times New Roman" w:cs="Times New Roman"/>
                <w:sz w:val="18"/>
                <w:szCs w:val="18"/>
              </w:rPr>
              <w:t>Models were fitted in R version 4.6.1 using coxme::coxme, with ICU centre specified as a Gaussian random intercept. Both models used the same complete-case conditional 48-hour landmark cohort (n = 1,529; 515 deaths), with time zero 48 hours after ICU admission. All 1,014 day-30 survivors were administratively censored at landmark day 28; there was no earlier censoring or loss to follow-up. Principal estimates used Breslow tie handling. Because ties were frequent, the models were also refitted using Efron, generally regarded as the more accurate approximation when ties are heavy; substantive conclusions were unchanged. Complete syntax and output are provided in Supplementary File 2.</w:t>
            </w:r>
          </w:p>
          <w:p w:rsidR="00F402D5" w:rsidRPr="007850E0" w:rsidRDefault="006046F0" w:rsidP="007850E0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6F0">
              <w:rPr>
                <w:rFonts w:ascii="Times New Roman" w:hAnsi="Times New Roman" w:cs="Times New Roman"/>
                <w:sz w:val="18"/>
                <w:szCs w:val="18"/>
              </w:rPr>
              <w:t>The non-zero centre-level variance estimates indicate appreciable between-centre heterogeneity. CCI point estimates were modest and similar across modelling approaches, but were estimated with less precision in the centre-clustered robust models. Mixed-effects hazard ratios are conditional on ICU centre, whereas centre-clustered robust estimates arise from the marginal patient-level model; therefore, the two approaches do not target strictly identical estimands, and small differences in point estimates are expected.</w:t>
            </w:r>
          </w:p>
        </w:tc>
      </w:tr>
    </w:tbl>
    <w:p w:rsidR="00A62799" w:rsidRDefault="00A62799"/>
    <w:p w:rsidR="00077103" w:rsidRDefault="00077103"/>
    <w:p w:rsidR="00077103" w:rsidRDefault="00077103"/>
    <w:p w:rsidR="00077103" w:rsidRDefault="00077103"/>
    <w:p w:rsidR="00077103" w:rsidRDefault="00077103"/>
    <w:p w:rsidR="00077103" w:rsidRDefault="00077103"/>
    <w:p w:rsidR="00077103" w:rsidRDefault="00077103"/>
    <w:p w:rsidR="00077103" w:rsidRDefault="00077103"/>
    <w:p w:rsidR="00077103" w:rsidRDefault="00077103"/>
    <w:p w:rsidR="00077103" w:rsidRDefault="00077103"/>
    <w:p w:rsidR="00077103" w:rsidRDefault="00077103"/>
    <w:sectPr w:rsidR="00077103" w:rsidSect="000771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82"/>
    <w:rsid w:val="00002B45"/>
    <w:rsid w:val="000058BE"/>
    <w:rsid w:val="00017FA2"/>
    <w:rsid w:val="00020473"/>
    <w:rsid w:val="00021D16"/>
    <w:rsid w:val="00037824"/>
    <w:rsid w:val="00042FE8"/>
    <w:rsid w:val="00053F44"/>
    <w:rsid w:val="00060A52"/>
    <w:rsid w:val="00066FCD"/>
    <w:rsid w:val="00071EC4"/>
    <w:rsid w:val="00077103"/>
    <w:rsid w:val="000909BC"/>
    <w:rsid w:val="000B3D66"/>
    <w:rsid w:val="000B5DD3"/>
    <w:rsid w:val="000F2F54"/>
    <w:rsid w:val="000F6086"/>
    <w:rsid w:val="00102200"/>
    <w:rsid w:val="001037F9"/>
    <w:rsid w:val="001046F2"/>
    <w:rsid w:val="00107516"/>
    <w:rsid w:val="00123DCD"/>
    <w:rsid w:val="001324DD"/>
    <w:rsid w:val="00140ACD"/>
    <w:rsid w:val="00143DF1"/>
    <w:rsid w:val="0015021A"/>
    <w:rsid w:val="00191735"/>
    <w:rsid w:val="001A521F"/>
    <w:rsid w:val="001A7107"/>
    <w:rsid w:val="001B537F"/>
    <w:rsid w:val="001C4F6E"/>
    <w:rsid w:val="001D49DE"/>
    <w:rsid w:val="00205BC1"/>
    <w:rsid w:val="0021270E"/>
    <w:rsid w:val="00215DF3"/>
    <w:rsid w:val="00260701"/>
    <w:rsid w:val="00265A31"/>
    <w:rsid w:val="0027401C"/>
    <w:rsid w:val="00276C5B"/>
    <w:rsid w:val="00283CC5"/>
    <w:rsid w:val="002909F3"/>
    <w:rsid w:val="002B11B9"/>
    <w:rsid w:val="002B37C7"/>
    <w:rsid w:val="002C116E"/>
    <w:rsid w:val="002C2083"/>
    <w:rsid w:val="002C246D"/>
    <w:rsid w:val="002D3E04"/>
    <w:rsid w:val="002F0472"/>
    <w:rsid w:val="00311951"/>
    <w:rsid w:val="00320341"/>
    <w:rsid w:val="00342C0B"/>
    <w:rsid w:val="003463AB"/>
    <w:rsid w:val="003519A4"/>
    <w:rsid w:val="00386F59"/>
    <w:rsid w:val="003A703B"/>
    <w:rsid w:val="003A7CE4"/>
    <w:rsid w:val="003B64A0"/>
    <w:rsid w:val="003C4DAD"/>
    <w:rsid w:val="003D0343"/>
    <w:rsid w:val="003F355F"/>
    <w:rsid w:val="004037E7"/>
    <w:rsid w:val="0041263A"/>
    <w:rsid w:val="0041318C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3CFB"/>
    <w:rsid w:val="005568D7"/>
    <w:rsid w:val="00561BEB"/>
    <w:rsid w:val="00562D0E"/>
    <w:rsid w:val="00584587"/>
    <w:rsid w:val="00592D1C"/>
    <w:rsid w:val="005A1961"/>
    <w:rsid w:val="005B0E3D"/>
    <w:rsid w:val="005C0B32"/>
    <w:rsid w:val="005C5A59"/>
    <w:rsid w:val="005E0A01"/>
    <w:rsid w:val="005E6F57"/>
    <w:rsid w:val="005F0582"/>
    <w:rsid w:val="006046F0"/>
    <w:rsid w:val="00605741"/>
    <w:rsid w:val="00611D84"/>
    <w:rsid w:val="00616288"/>
    <w:rsid w:val="006177EF"/>
    <w:rsid w:val="00617B5B"/>
    <w:rsid w:val="006275C8"/>
    <w:rsid w:val="006418C5"/>
    <w:rsid w:val="006472F9"/>
    <w:rsid w:val="006511AD"/>
    <w:rsid w:val="006535E3"/>
    <w:rsid w:val="00660A4F"/>
    <w:rsid w:val="00662DD9"/>
    <w:rsid w:val="0067756A"/>
    <w:rsid w:val="00684082"/>
    <w:rsid w:val="00686EA9"/>
    <w:rsid w:val="00694D7F"/>
    <w:rsid w:val="00697B74"/>
    <w:rsid w:val="006A21E6"/>
    <w:rsid w:val="006C20DA"/>
    <w:rsid w:val="006C72C9"/>
    <w:rsid w:val="006E6572"/>
    <w:rsid w:val="006F0B72"/>
    <w:rsid w:val="00703EFC"/>
    <w:rsid w:val="00712D95"/>
    <w:rsid w:val="00747981"/>
    <w:rsid w:val="007557E0"/>
    <w:rsid w:val="00757CAA"/>
    <w:rsid w:val="00761964"/>
    <w:rsid w:val="007714EE"/>
    <w:rsid w:val="007731FF"/>
    <w:rsid w:val="00774A14"/>
    <w:rsid w:val="00783B3B"/>
    <w:rsid w:val="007850E0"/>
    <w:rsid w:val="0079373F"/>
    <w:rsid w:val="007B0D93"/>
    <w:rsid w:val="007E169C"/>
    <w:rsid w:val="007E5C95"/>
    <w:rsid w:val="008001BA"/>
    <w:rsid w:val="00813612"/>
    <w:rsid w:val="00823791"/>
    <w:rsid w:val="00824346"/>
    <w:rsid w:val="008410FD"/>
    <w:rsid w:val="00857D58"/>
    <w:rsid w:val="008873B3"/>
    <w:rsid w:val="00897D39"/>
    <w:rsid w:val="008A7025"/>
    <w:rsid w:val="008D5615"/>
    <w:rsid w:val="008F4900"/>
    <w:rsid w:val="00905330"/>
    <w:rsid w:val="00907BB7"/>
    <w:rsid w:val="00913616"/>
    <w:rsid w:val="009237F5"/>
    <w:rsid w:val="00923F78"/>
    <w:rsid w:val="00940B3F"/>
    <w:rsid w:val="009561A4"/>
    <w:rsid w:val="0096699A"/>
    <w:rsid w:val="00972A29"/>
    <w:rsid w:val="00973E20"/>
    <w:rsid w:val="00984B8C"/>
    <w:rsid w:val="00984C87"/>
    <w:rsid w:val="00992C4F"/>
    <w:rsid w:val="009A66F3"/>
    <w:rsid w:val="009A6E4F"/>
    <w:rsid w:val="009B238D"/>
    <w:rsid w:val="009B3F5A"/>
    <w:rsid w:val="009B4C4C"/>
    <w:rsid w:val="009B4E1B"/>
    <w:rsid w:val="009B5F8D"/>
    <w:rsid w:val="009C237B"/>
    <w:rsid w:val="00A01643"/>
    <w:rsid w:val="00A12DD2"/>
    <w:rsid w:val="00A22C5E"/>
    <w:rsid w:val="00A27397"/>
    <w:rsid w:val="00A4558A"/>
    <w:rsid w:val="00A62799"/>
    <w:rsid w:val="00A90A99"/>
    <w:rsid w:val="00A96EF7"/>
    <w:rsid w:val="00AA7FC7"/>
    <w:rsid w:val="00AD6942"/>
    <w:rsid w:val="00AE00B0"/>
    <w:rsid w:val="00AE28CB"/>
    <w:rsid w:val="00AE2D46"/>
    <w:rsid w:val="00AE4708"/>
    <w:rsid w:val="00B12C9B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B4896"/>
    <w:rsid w:val="00BF167F"/>
    <w:rsid w:val="00BF3809"/>
    <w:rsid w:val="00C01AF2"/>
    <w:rsid w:val="00C01C08"/>
    <w:rsid w:val="00C27785"/>
    <w:rsid w:val="00C31846"/>
    <w:rsid w:val="00C41A10"/>
    <w:rsid w:val="00C44D7B"/>
    <w:rsid w:val="00C476F9"/>
    <w:rsid w:val="00C73FE4"/>
    <w:rsid w:val="00C83366"/>
    <w:rsid w:val="00C8437D"/>
    <w:rsid w:val="00C84E00"/>
    <w:rsid w:val="00C873C7"/>
    <w:rsid w:val="00C93211"/>
    <w:rsid w:val="00CA1616"/>
    <w:rsid w:val="00CB2FC0"/>
    <w:rsid w:val="00CC2671"/>
    <w:rsid w:val="00CD15CA"/>
    <w:rsid w:val="00CD22B6"/>
    <w:rsid w:val="00CE1037"/>
    <w:rsid w:val="00D11F67"/>
    <w:rsid w:val="00D13BA3"/>
    <w:rsid w:val="00D14EC6"/>
    <w:rsid w:val="00D20792"/>
    <w:rsid w:val="00D20872"/>
    <w:rsid w:val="00D22172"/>
    <w:rsid w:val="00D2691E"/>
    <w:rsid w:val="00D45D4C"/>
    <w:rsid w:val="00D45EE8"/>
    <w:rsid w:val="00D51953"/>
    <w:rsid w:val="00D6115D"/>
    <w:rsid w:val="00D63750"/>
    <w:rsid w:val="00D70417"/>
    <w:rsid w:val="00D73F33"/>
    <w:rsid w:val="00D74FC4"/>
    <w:rsid w:val="00DA0148"/>
    <w:rsid w:val="00DB46F7"/>
    <w:rsid w:val="00DB5F1A"/>
    <w:rsid w:val="00DC3365"/>
    <w:rsid w:val="00DD2F29"/>
    <w:rsid w:val="00DD61D2"/>
    <w:rsid w:val="00DE0DDD"/>
    <w:rsid w:val="00DE24E4"/>
    <w:rsid w:val="00DE45F9"/>
    <w:rsid w:val="00DF5726"/>
    <w:rsid w:val="00E121D9"/>
    <w:rsid w:val="00E245B8"/>
    <w:rsid w:val="00E324EB"/>
    <w:rsid w:val="00E34358"/>
    <w:rsid w:val="00E41FCC"/>
    <w:rsid w:val="00E44911"/>
    <w:rsid w:val="00E75AAB"/>
    <w:rsid w:val="00E76181"/>
    <w:rsid w:val="00E91420"/>
    <w:rsid w:val="00EA4BDE"/>
    <w:rsid w:val="00EB7F00"/>
    <w:rsid w:val="00EC4FA9"/>
    <w:rsid w:val="00EF49C7"/>
    <w:rsid w:val="00EF62E2"/>
    <w:rsid w:val="00F0192D"/>
    <w:rsid w:val="00F0714B"/>
    <w:rsid w:val="00F121DA"/>
    <w:rsid w:val="00F2669D"/>
    <w:rsid w:val="00F402D5"/>
    <w:rsid w:val="00F470C9"/>
    <w:rsid w:val="00F47E22"/>
    <w:rsid w:val="00F552C2"/>
    <w:rsid w:val="00F57F70"/>
    <w:rsid w:val="00F66DC0"/>
    <w:rsid w:val="00F67443"/>
    <w:rsid w:val="00F71657"/>
    <w:rsid w:val="00F72F5E"/>
    <w:rsid w:val="00F75E99"/>
    <w:rsid w:val="00F81ABD"/>
    <w:rsid w:val="00F83E0E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DDE38-919B-3640-9A53-8D3EA0AD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4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84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84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84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4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40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40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40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40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4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84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84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8408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408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408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408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408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408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40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4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40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4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40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408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408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408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4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408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4082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77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3</cp:revision>
  <dcterms:created xsi:type="dcterms:W3CDTF">2026-08-13T05:57:00Z</dcterms:created>
  <dcterms:modified xsi:type="dcterms:W3CDTF">2026-08-13T08:38:00Z</dcterms:modified>
</cp:coreProperties>
</file>