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93FB7" w:rsidRPr="00342D51" w:rsidRDefault="00000000">
      <w:pPr>
        <w:rPr>
          <w:sz w:val="18"/>
          <w:szCs w:val="18"/>
        </w:rPr>
      </w:pPr>
      <w:r w:rsidRPr="00342D51">
        <w:rPr>
          <w:sz w:val="18"/>
          <w:szCs w:val="18"/>
        </w:rPr>
        <w:t>Completed for a prospective multicentre observational cohort study. Items specific to case-control or cross-sectional designs are marked as not applicable where relevant.</w:t>
      </w:r>
    </w:p>
    <w:p w:rsidR="00D87AF7" w:rsidRPr="00342D51" w:rsidRDefault="00D87AF7" w:rsidP="005B567D">
      <w:pPr>
        <w:pStyle w:val="TableTitle"/>
        <w:rPr>
          <w:sz w:val="18"/>
          <w:szCs w:val="18"/>
        </w:rPr>
      </w:pPr>
      <w:r w:rsidRPr="00342D51">
        <w:rPr>
          <w:sz w:val="18"/>
          <w:szCs w:val="18"/>
        </w:rPr>
        <w:t xml:space="preserve">STROBE </w:t>
      </w:r>
      <w:r w:rsidR="00F0752A" w:rsidRPr="00342D51">
        <w:rPr>
          <w:sz w:val="18"/>
          <w:szCs w:val="18"/>
        </w:rPr>
        <w:t>S</w:t>
      </w:r>
      <w:r w:rsidRPr="00342D51">
        <w:rPr>
          <w:sz w:val="18"/>
          <w:szCs w:val="18"/>
        </w:rPr>
        <w:t xml:space="preserve">tatement—checklist of items that should be </w:t>
      </w:r>
      <w:r w:rsidR="00B60EFB" w:rsidRPr="00342D51">
        <w:rPr>
          <w:sz w:val="18"/>
          <w:szCs w:val="18"/>
        </w:rPr>
        <w:t xml:space="preserve">included </w:t>
      </w:r>
      <w:r w:rsidRPr="00342D51">
        <w:rPr>
          <w:sz w:val="18"/>
          <w:szCs w:val="18"/>
        </w:rPr>
        <w:t>in r</w:t>
      </w:r>
      <w:r w:rsidR="004A32C8" w:rsidRPr="00342D51">
        <w:rPr>
          <w:sz w:val="18"/>
          <w:szCs w:val="18"/>
        </w:rPr>
        <w:t>eports of observational studies</w:t>
      </w:r>
    </w:p>
    <w:p w:rsidR="004A32C8" w:rsidRPr="00342D51" w:rsidRDefault="004A32C8" w:rsidP="005B567D">
      <w:pPr>
        <w:pStyle w:val="TableTitle"/>
        <w:rPr>
          <w:sz w:val="18"/>
          <w:szCs w:val="18"/>
        </w:rPr>
      </w:pP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951"/>
        <w:gridCol w:w="616"/>
        <w:gridCol w:w="8031"/>
        <w:gridCol w:w="1559"/>
        <w:gridCol w:w="2835"/>
      </w:tblGrid>
      <w:tr w:rsidR="00191A23" w:rsidRPr="00342D51" w:rsidTr="00E341E9">
        <w:tc>
          <w:tcPr>
            <w:tcW w:w="1951" w:type="dxa"/>
            <w:vAlign w:val="center"/>
          </w:tcPr>
          <w:p w:rsidR="00191A23" w:rsidRPr="00342D51" w:rsidRDefault="00191A23" w:rsidP="0022554A">
            <w:pPr>
              <w:tabs>
                <w:tab w:val="left" w:pos="5400"/>
              </w:tabs>
              <w:rPr>
                <w:sz w:val="18"/>
                <w:szCs w:val="18"/>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616" w:type="dxa"/>
            <w:vAlign w:val="center"/>
          </w:tcPr>
          <w:p w:rsidR="00191A23" w:rsidRPr="00342D51" w:rsidRDefault="00191A23" w:rsidP="0022554A">
            <w:pPr>
              <w:pStyle w:val="TableHeader"/>
              <w:tabs>
                <w:tab w:val="left" w:pos="5400"/>
              </w:tabs>
              <w:spacing w:before="0"/>
              <w:jc w:val="center"/>
              <w:rPr>
                <w:bCs/>
                <w:sz w:val="18"/>
                <w:szCs w:val="18"/>
              </w:rPr>
            </w:pPr>
            <w:r w:rsidRPr="00342D51">
              <w:rPr>
                <w:bCs/>
                <w:sz w:val="18"/>
                <w:szCs w:val="18"/>
              </w:rPr>
              <w:t>Item No.</w:t>
            </w:r>
          </w:p>
        </w:tc>
        <w:tc>
          <w:tcPr>
            <w:tcW w:w="8031" w:type="dxa"/>
            <w:vAlign w:val="center"/>
          </w:tcPr>
          <w:p w:rsidR="00191A23" w:rsidRPr="00342D51" w:rsidRDefault="00191A23" w:rsidP="0022554A">
            <w:pPr>
              <w:pStyle w:val="TableHeader"/>
              <w:tabs>
                <w:tab w:val="left" w:pos="5400"/>
              </w:tabs>
              <w:spacing w:before="0"/>
              <w:jc w:val="center"/>
              <w:rPr>
                <w:bCs/>
                <w:sz w:val="18"/>
                <w:szCs w:val="18"/>
              </w:rPr>
            </w:pPr>
            <w:r w:rsidRPr="00342D51">
              <w:rPr>
                <w:bCs/>
                <w:sz w:val="18"/>
                <w:szCs w:val="18"/>
              </w:rPr>
              <w:t>Recommendation</w:t>
            </w:r>
          </w:p>
        </w:tc>
        <w:tc>
          <w:tcPr>
            <w:tcW w:w="1559" w:type="dxa"/>
            <w:vAlign w:val="center"/>
          </w:tcPr>
          <w:p w:rsidR="00191A23" w:rsidRPr="00342D51" w:rsidRDefault="00191A23" w:rsidP="00976EE1">
            <w:pPr>
              <w:pStyle w:val="TableHeader"/>
              <w:tabs>
                <w:tab w:val="left" w:pos="5400"/>
              </w:tabs>
              <w:spacing w:before="0"/>
              <w:jc w:val="center"/>
              <w:rPr>
                <w:bCs/>
                <w:sz w:val="18"/>
                <w:szCs w:val="18"/>
              </w:rPr>
            </w:pPr>
            <w:r w:rsidRPr="00342D51">
              <w:rPr>
                <w:bCs/>
                <w:sz w:val="18"/>
                <w:szCs w:val="18"/>
              </w:rPr>
              <w:t xml:space="preserve">Page </w:t>
            </w:r>
            <w:r w:rsidRPr="00342D51">
              <w:rPr>
                <w:bCs/>
                <w:sz w:val="18"/>
                <w:szCs w:val="18"/>
              </w:rPr>
              <w:br/>
              <w:t>No.</w:t>
            </w:r>
          </w:p>
        </w:tc>
        <w:tc>
          <w:tcPr>
            <w:tcW w:w="2835" w:type="dxa"/>
            <w:vAlign w:val="center"/>
          </w:tcPr>
          <w:p w:rsidR="00191A23" w:rsidRPr="00342D51" w:rsidRDefault="00517788" w:rsidP="00517788">
            <w:pPr>
              <w:pStyle w:val="TableHeader"/>
              <w:tabs>
                <w:tab w:val="left" w:pos="5400"/>
              </w:tabs>
              <w:spacing w:before="0"/>
              <w:jc w:val="center"/>
              <w:rPr>
                <w:bCs/>
                <w:sz w:val="18"/>
                <w:szCs w:val="18"/>
              </w:rPr>
            </w:pPr>
            <w:r w:rsidRPr="00342D51">
              <w:rPr>
                <w:bCs/>
                <w:sz w:val="18"/>
                <w:szCs w:val="18"/>
              </w:rPr>
              <w:t>Relevant t</w:t>
            </w:r>
            <w:r w:rsidR="00191A23" w:rsidRPr="00342D51">
              <w:rPr>
                <w:bCs/>
                <w:sz w:val="18"/>
                <w:szCs w:val="18"/>
              </w:rPr>
              <w:t>ext from manuscript</w:t>
            </w:r>
          </w:p>
        </w:tc>
      </w:tr>
      <w:tr w:rsidR="002E72E0" w:rsidRPr="00342D51" w:rsidTr="00A267B0">
        <w:tc>
          <w:tcPr>
            <w:tcW w:w="1951" w:type="dxa"/>
            <w:vMerge w:val="restart"/>
            <w:vAlign w:val="center"/>
          </w:tcPr>
          <w:p w:rsidR="002E72E0" w:rsidRPr="00342D51" w:rsidRDefault="002E72E0" w:rsidP="002E72E0">
            <w:pPr>
              <w:tabs>
                <w:tab w:val="left" w:pos="5400"/>
              </w:tabs>
              <w:rPr>
                <w:b/>
                <w:bCs/>
                <w:sz w:val="18"/>
                <w:szCs w:val="18"/>
              </w:rPr>
            </w:pPr>
            <w:bookmarkStart w:id="9" w:name="bold5"/>
            <w:bookmarkStart w:id="10" w:name="italic6"/>
            <w:bookmarkEnd w:id="0"/>
            <w:bookmarkEnd w:id="1"/>
            <w:bookmarkEnd w:id="2"/>
            <w:bookmarkEnd w:id="3"/>
            <w:bookmarkEnd w:id="4"/>
            <w:bookmarkEnd w:id="5"/>
            <w:bookmarkEnd w:id="6"/>
            <w:bookmarkEnd w:id="7"/>
            <w:bookmarkEnd w:id="8"/>
            <w:r w:rsidRPr="00342D51">
              <w:rPr>
                <w:b/>
                <w:sz w:val="18"/>
                <w:szCs w:val="18"/>
              </w:rPr>
              <w:t>Title and abstract</w:t>
            </w:r>
            <w:bookmarkEnd w:id="9"/>
            <w:bookmarkEnd w:id="10"/>
          </w:p>
        </w:tc>
        <w:tc>
          <w:tcPr>
            <w:tcW w:w="616" w:type="dxa"/>
            <w:vMerge w:val="restart"/>
            <w:vAlign w:val="center"/>
          </w:tcPr>
          <w:p w:rsidR="002E72E0" w:rsidRPr="00342D51" w:rsidRDefault="002E72E0" w:rsidP="002E72E0">
            <w:pPr>
              <w:tabs>
                <w:tab w:val="left" w:pos="5400"/>
              </w:tabs>
              <w:jc w:val="center"/>
              <w:rPr>
                <w:sz w:val="18"/>
                <w:szCs w:val="18"/>
              </w:rPr>
            </w:pPr>
            <w:r w:rsidRPr="00342D51">
              <w:rPr>
                <w:sz w:val="18"/>
                <w:szCs w:val="18"/>
              </w:rPr>
              <w:t>1</w:t>
            </w:r>
          </w:p>
        </w:tc>
        <w:tc>
          <w:tcPr>
            <w:tcW w:w="8031" w:type="dxa"/>
            <w:vAlign w:val="center"/>
          </w:tcPr>
          <w:p w:rsidR="002E72E0" w:rsidRPr="00342D51" w:rsidRDefault="002E72E0" w:rsidP="002E72E0">
            <w:pPr>
              <w:tabs>
                <w:tab w:val="left" w:pos="5400"/>
              </w:tabs>
              <w:rPr>
                <w:sz w:val="18"/>
                <w:szCs w:val="18"/>
              </w:rPr>
            </w:pPr>
            <w:r w:rsidRPr="00342D51">
              <w:rPr>
                <w:sz w:val="18"/>
                <w:szCs w:val="18"/>
              </w:rPr>
              <w:t>(</w:t>
            </w:r>
            <w:r w:rsidRPr="00342D51">
              <w:rPr>
                <w:i/>
                <w:sz w:val="18"/>
                <w:szCs w:val="18"/>
              </w:rPr>
              <w:t>a</w:t>
            </w:r>
            <w:r w:rsidRPr="00342D51">
              <w:rPr>
                <w:sz w:val="18"/>
                <w:szCs w:val="18"/>
              </w:rPr>
              <w:t>) Indicate the study’s design with a commonly used term in the title or the abstract</w:t>
            </w:r>
          </w:p>
        </w:tc>
        <w:tc>
          <w:tcPr>
            <w:tcW w:w="1559" w:type="dxa"/>
          </w:tcPr>
          <w:p w:rsidR="002E72E0" w:rsidRPr="00342D51" w:rsidRDefault="002E72E0" w:rsidP="002E72E0">
            <w:pPr>
              <w:rPr>
                <w:sz w:val="18"/>
                <w:szCs w:val="18"/>
              </w:rPr>
            </w:pPr>
            <w:r w:rsidRPr="00342D51">
              <w:rPr>
                <w:rFonts w:eastAsia="Arial"/>
                <w:sz w:val="18"/>
                <w:szCs w:val="18"/>
              </w:rPr>
              <w:t>Title; Abstract—Methods</w:t>
            </w:r>
          </w:p>
        </w:tc>
        <w:tc>
          <w:tcPr>
            <w:tcW w:w="2835" w:type="dxa"/>
            <w:vAlign w:val="center"/>
          </w:tcPr>
          <w:p w:rsidR="002E72E0" w:rsidRPr="00342D51" w:rsidRDefault="002E72E0" w:rsidP="002E72E0">
            <w:pPr>
              <w:rPr>
                <w:sz w:val="18"/>
                <w:szCs w:val="18"/>
              </w:rPr>
            </w:pPr>
            <w:r w:rsidRPr="00342D51">
              <w:rPr>
                <w:sz w:val="18"/>
                <w:szCs w:val="18"/>
              </w:rPr>
              <w:t>Abstract Methods describes a multicentre prospective observational cohort study of ICU patients aged ≥65 years with ICU length of stay exceeding 48 hours.</w:t>
            </w:r>
          </w:p>
        </w:tc>
      </w:tr>
      <w:tr w:rsidR="002E72E0" w:rsidRPr="00342D51" w:rsidTr="00271006">
        <w:tc>
          <w:tcPr>
            <w:tcW w:w="1951" w:type="dxa"/>
            <w:vMerge/>
          </w:tcPr>
          <w:p w:rsidR="002E72E0" w:rsidRPr="00342D51" w:rsidRDefault="002E72E0" w:rsidP="002E72E0">
            <w:pPr>
              <w:tabs>
                <w:tab w:val="left" w:pos="5400"/>
              </w:tabs>
              <w:rPr>
                <w:bCs/>
                <w:sz w:val="18"/>
                <w:szCs w:val="18"/>
              </w:rPr>
            </w:pPr>
            <w:bookmarkStart w:id="11" w:name="bold6" w:colFirst="0" w:colLast="0"/>
            <w:bookmarkStart w:id="12" w:name="italic7" w:colFirst="0" w:colLast="0"/>
          </w:p>
        </w:tc>
        <w:tc>
          <w:tcPr>
            <w:tcW w:w="616" w:type="dxa"/>
            <w:vMerge/>
          </w:tcPr>
          <w:p w:rsidR="002E72E0" w:rsidRPr="00342D51" w:rsidRDefault="002E72E0" w:rsidP="002E72E0">
            <w:pPr>
              <w:tabs>
                <w:tab w:val="left" w:pos="5400"/>
              </w:tabs>
              <w:jc w:val="center"/>
              <w:rPr>
                <w:sz w:val="18"/>
                <w:szCs w:val="18"/>
              </w:rPr>
            </w:pPr>
          </w:p>
        </w:tc>
        <w:tc>
          <w:tcPr>
            <w:tcW w:w="8031" w:type="dxa"/>
            <w:vAlign w:val="center"/>
          </w:tcPr>
          <w:p w:rsidR="002E72E0" w:rsidRPr="00342D51" w:rsidRDefault="002E72E0" w:rsidP="002E72E0">
            <w:pPr>
              <w:tabs>
                <w:tab w:val="left" w:pos="5400"/>
              </w:tabs>
              <w:rPr>
                <w:sz w:val="18"/>
                <w:szCs w:val="18"/>
              </w:rPr>
            </w:pPr>
            <w:r w:rsidRPr="00342D51">
              <w:rPr>
                <w:sz w:val="18"/>
                <w:szCs w:val="18"/>
              </w:rPr>
              <w:t>(</w:t>
            </w:r>
            <w:r w:rsidRPr="00342D51">
              <w:rPr>
                <w:i/>
                <w:sz w:val="18"/>
                <w:szCs w:val="18"/>
              </w:rPr>
              <w:t>b</w:t>
            </w:r>
            <w:r w:rsidRPr="00342D51">
              <w:rPr>
                <w:sz w:val="18"/>
                <w:szCs w:val="18"/>
              </w:rPr>
              <w:t>) Provide in the abstract an informative and balanced summary of what was done and what was found</w:t>
            </w:r>
          </w:p>
        </w:tc>
        <w:tc>
          <w:tcPr>
            <w:tcW w:w="1559" w:type="dxa"/>
          </w:tcPr>
          <w:p w:rsidR="002E72E0" w:rsidRPr="00342D51" w:rsidRDefault="002E72E0" w:rsidP="002E72E0">
            <w:pPr>
              <w:rPr>
                <w:sz w:val="18"/>
                <w:szCs w:val="18"/>
              </w:rPr>
            </w:pPr>
            <w:r w:rsidRPr="00342D51">
              <w:rPr>
                <w:rFonts w:eastAsia="Arial"/>
                <w:sz w:val="18"/>
                <w:szCs w:val="18"/>
              </w:rPr>
              <w:t>Abstract</w:t>
            </w:r>
          </w:p>
        </w:tc>
        <w:tc>
          <w:tcPr>
            <w:tcW w:w="2835" w:type="dxa"/>
            <w:vAlign w:val="center"/>
          </w:tcPr>
          <w:p w:rsidR="00934427" w:rsidRPr="00342D51" w:rsidRDefault="00000000">
            <w:pPr>
              <w:rPr>
                <w:sz w:val="18"/>
                <w:szCs w:val="18"/>
              </w:rPr>
            </w:pPr>
            <w:r w:rsidRPr="00342D51">
              <w:rPr>
                <w:sz w:val="18"/>
                <w:szCs w:val="18"/>
              </w:rPr>
              <w:t>The Abstract summarises the purpose, design, setting, participants, primary outcome and main findings and reports the conventional and centre-clustered adjusted hazard ratios with 95% confidence intervals for CFS and SOFA, together with the modest CCI association estimated with less precision after accounting for within-centre correlation.</w:t>
            </w:r>
          </w:p>
        </w:tc>
      </w:tr>
      <w:tr w:rsidR="00191A23" w:rsidRPr="00342D51" w:rsidTr="00E341E9">
        <w:tc>
          <w:tcPr>
            <w:tcW w:w="12157" w:type="dxa"/>
            <w:gridSpan w:val="4"/>
            <w:vAlign w:val="center"/>
          </w:tcPr>
          <w:p w:rsidR="00191A23" w:rsidRPr="00342D51" w:rsidRDefault="00191A23" w:rsidP="0022554A">
            <w:pPr>
              <w:pStyle w:val="TableSubHead"/>
              <w:tabs>
                <w:tab w:val="left" w:pos="5400"/>
              </w:tabs>
              <w:spacing w:before="0"/>
              <w:rPr>
                <w:sz w:val="18"/>
                <w:szCs w:val="18"/>
              </w:rPr>
            </w:pPr>
            <w:bookmarkStart w:id="13" w:name="bold7"/>
            <w:bookmarkStart w:id="14" w:name="italic8"/>
            <w:bookmarkEnd w:id="11"/>
            <w:bookmarkEnd w:id="12"/>
            <w:r w:rsidRPr="00342D51">
              <w:rPr>
                <w:sz w:val="18"/>
                <w:szCs w:val="18"/>
              </w:rPr>
              <w:t>Introduction</w:t>
            </w:r>
          </w:p>
        </w:tc>
        <w:bookmarkEnd w:id="13"/>
        <w:bookmarkEnd w:id="14"/>
        <w:tc>
          <w:tcPr>
            <w:tcW w:w="2835" w:type="dxa"/>
            <w:vAlign w:val="center"/>
          </w:tcPr>
          <w:p w:rsidR="00191A23" w:rsidRPr="00342D51" w:rsidRDefault="00191A23" w:rsidP="0022554A">
            <w:pPr>
              <w:pStyle w:val="TableSubHead"/>
              <w:tabs>
                <w:tab w:val="left" w:pos="5400"/>
              </w:tabs>
              <w:spacing w:before="0"/>
              <w:rPr>
                <w:sz w:val="18"/>
                <w:szCs w:val="18"/>
              </w:rPr>
            </w:pPr>
          </w:p>
        </w:tc>
      </w:tr>
      <w:tr w:rsidR="002E72E0" w:rsidRPr="00342D51" w:rsidTr="002867DC">
        <w:tc>
          <w:tcPr>
            <w:tcW w:w="1951" w:type="dxa"/>
            <w:vAlign w:val="center"/>
          </w:tcPr>
          <w:p w:rsidR="002E72E0" w:rsidRPr="00342D51" w:rsidRDefault="002E72E0" w:rsidP="002E72E0">
            <w:pPr>
              <w:tabs>
                <w:tab w:val="left" w:pos="5400"/>
              </w:tabs>
              <w:rPr>
                <w:bCs/>
                <w:sz w:val="18"/>
                <w:szCs w:val="18"/>
              </w:rPr>
            </w:pPr>
            <w:bookmarkStart w:id="15" w:name="bold8"/>
            <w:bookmarkStart w:id="16" w:name="italic9"/>
            <w:r w:rsidRPr="00342D51">
              <w:rPr>
                <w:bCs/>
                <w:sz w:val="18"/>
                <w:szCs w:val="18"/>
              </w:rPr>
              <w:t>Background/</w:t>
            </w:r>
            <w:bookmarkStart w:id="17" w:name="bold9"/>
            <w:bookmarkStart w:id="18" w:name="italic10"/>
            <w:bookmarkEnd w:id="15"/>
            <w:bookmarkEnd w:id="16"/>
            <w:r w:rsidRPr="00342D51">
              <w:rPr>
                <w:bCs/>
                <w:sz w:val="18"/>
                <w:szCs w:val="18"/>
              </w:rPr>
              <w:t>rationale</w:t>
            </w:r>
            <w:bookmarkEnd w:id="17"/>
            <w:bookmarkEnd w:id="18"/>
          </w:p>
        </w:tc>
        <w:tc>
          <w:tcPr>
            <w:tcW w:w="616" w:type="dxa"/>
            <w:vAlign w:val="center"/>
          </w:tcPr>
          <w:p w:rsidR="002E72E0" w:rsidRPr="00342D51" w:rsidRDefault="002E72E0" w:rsidP="002E72E0">
            <w:pPr>
              <w:tabs>
                <w:tab w:val="left" w:pos="5400"/>
              </w:tabs>
              <w:jc w:val="center"/>
              <w:rPr>
                <w:sz w:val="18"/>
                <w:szCs w:val="18"/>
              </w:rPr>
            </w:pPr>
            <w:r w:rsidRPr="00342D51">
              <w:rPr>
                <w:sz w:val="18"/>
                <w:szCs w:val="18"/>
              </w:rPr>
              <w:t>2</w:t>
            </w:r>
          </w:p>
        </w:tc>
        <w:tc>
          <w:tcPr>
            <w:tcW w:w="8031" w:type="dxa"/>
            <w:vAlign w:val="center"/>
          </w:tcPr>
          <w:p w:rsidR="002E72E0" w:rsidRPr="00342D51" w:rsidRDefault="002E72E0" w:rsidP="002E72E0">
            <w:pPr>
              <w:tabs>
                <w:tab w:val="left" w:pos="5400"/>
              </w:tabs>
              <w:rPr>
                <w:sz w:val="18"/>
                <w:szCs w:val="18"/>
              </w:rPr>
            </w:pPr>
            <w:r w:rsidRPr="00342D51">
              <w:rPr>
                <w:sz w:val="18"/>
                <w:szCs w:val="18"/>
              </w:rPr>
              <w:t>Explain the scientific background and rationale for the investigation being reported</w:t>
            </w:r>
          </w:p>
        </w:tc>
        <w:tc>
          <w:tcPr>
            <w:tcW w:w="1559" w:type="dxa"/>
          </w:tcPr>
          <w:p w:rsidR="002E72E0" w:rsidRPr="00342D51" w:rsidRDefault="002E72E0" w:rsidP="002E72E0">
            <w:pPr>
              <w:rPr>
                <w:sz w:val="18"/>
                <w:szCs w:val="18"/>
              </w:rPr>
            </w:pPr>
            <w:r w:rsidRPr="00342D51">
              <w:rPr>
                <w:rFonts w:eastAsia="Arial"/>
                <w:sz w:val="18"/>
                <w:szCs w:val="18"/>
              </w:rPr>
              <w:t>Background</w:t>
            </w:r>
          </w:p>
        </w:tc>
        <w:tc>
          <w:tcPr>
            <w:tcW w:w="2835" w:type="dxa"/>
            <w:vAlign w:val="center"/>
          </w:tcPr>
          <w:p w:rsidR="002E72E0" w:rsidRPr="00342D51" w:rsidRDefault="002E72E0" w:rsidP="002E72E0">
            <w:pPr>
              <w:rPr>
                <w:sz w:val="18"/>
                <w:szCs w:val="18"/>
              </w:rPr>
            </w:pPr>
            <w:r w:rsidRPr="00342D51">
              <w:rPr>
                <w:rFonts w:eastAsia="Arial"/>
                <w:sz w:val="18"/>
                <w:szCs w:val="18"/>
              </w:rPr>
              <w:t>Background describes ageing ICU population, limitations of age alone and conventional severity scores, and the rationale for evaluating frailty, functional status, comorbidity and organ dysfunction.</w:t>
            </w:r>
          </w:p>
        </w:tc>
      </w:tr>
      <w:tr w:rsidR="002E72E0" w:rsidRPr="00342D51" w:rsidTr="00957767">
        <w:tc>
          <w:tcPr>
            <w:tcW w:w="1951" w:type="dxa"/>
            <w:vAlign w:val="center"/>
          </w:tcPr>
          <w:p w:rsidR="002E72E0" w:rsidRPr="00342D51" w:rsidRDefault="002E72E0" w:rsidP="002E72E0">
            <w:pPr>
              <w:tabs>
                <w:tab w:val="left" w:pos="5400"/>
              </w:tabs>
              <w:rPr>
                <w:bCs/>
                <w:sz w:val="18"/>
                <w:szCs w:val="18"/>
              </w:rPr>
            </w:pPr>
            <w:bookmarkStart w:id="19" w:name="bold10" w:colFirst="0" w:colLast="0"/>
            <w:bookmarkStart w:id="20" w:name="italic11" w:colFirst="0" w:colLast="0"/>
            <w:r w:rsidRPr="00342D51">
              <w:rPr>
                <w:bCs/>
                <w:sz w:val="18"/>
                <w:szCs w:val="18"/>
              </w:rPr>
              <w:t>Objectives</w:t>
            </w:r>
          </w:p>
        </w:tc>
        <w:tc>
          <w:tcPr>
            <w:tcW w:w="616" w:type="dxa"/>
            <w:vAlign w:val="center"/>
          </w:tcPr>
          <w:p w:rsidR="002E72E0" w:rsidRPr="00342D51" w:rsidRDefault="002E72E0" w:rsidP="002E72E0">
            <w:pPr>
              <w:tabs>
                <w:tab w:val="left" w:pos="5400"/>
              </w:tabs>
              <w:jc w:val="center"/>
              <w:rPr>
                <w:sz w:val="18"/>
                <w:szCs w:val="18"/>
              </w:rPr>
            </w:pPr>
            <w:r w:rsidRPr="00342D51">
              <w:rPr>
                <w:sz w:val="18"/>
                <w:szCs w:val="18"/>
              </w:rPr>
              <w:t>3</w:t>
            </w:r>
          </w:p>
        </w:tc>
        <w:tc>
          <w:tcPr>
            <w:tcW w:w="8031" w:type="dxa"/>
            <w:vAlign w:val="center"/>
          </w:tcPr>
          <w:p w:rsidR="002E72E0" w:rsidRPr="00342D51" w:rsidRDefault="002E72E0" w:rsidP="002E72E0">
            <w:pPr>
              <w:tabs>
                <w:tab w:val="left" w:pos="5400"/>
              </w:tabs>
              <w:rPr>
                <w:sz w:val="18"/>
                <w:szCs w:val="18"/>
              </w:rPr>
            </w:pPr>
            <w:r w:rsidRPr="00342D51">
              <w:rPr>
                <w:sz w:val="18"/>
                <w:szCs w:val="18"/>
              </w:rPr>
              <w:t>State specific objectives, including any prespecified hypotheses</w:t>
            </w:r>
          </w:p>
        </w:tc>
        <w:tc>
          <w:tcPr>
            <w:tcW w:w="1559" w:type="dxa"/>
          </w:tcPr>
          <w:p w:rsidR="002E72E0" w:rsidRPr="00342D51" w:rsidRDefault="002E72E0" w:rsidP="002E72E0">
            <w:pPr>
              <w:rPr>
                <w:sz w:val="18"/>
                <w:szCs w:val="18"/>
              </w:rPr>
            </w:pPr>
            <w:r w:rsidRPr="00342D51">
              <w:rPr>
                <w:rFonts w:eastAsia="Arial"/>
                <w:sz w:val="18"/>
                <w:szCs w:val="18"/>
              </w:rPr>
              <w:t>End of Background</w:t>
            </w:r>
          </w:p>
        </w:tc>
        <w:tc>
          <w:tcPr>
            <w:tcW w:w="2835" w:type="dxa"/>
            <w:vAlign w:val="center"/>
          </w:tcPr>
          <w:p w:rsidR="002E72E0" w:rsidRPr="00342D51" w:rsidRDefault="002E72E0" w:rsidP="002E72E0">
            <w:pPr>
              <w:rPr>
                <w:sz w:val="18"/>
                <w:szCs w:val="18"/>
              </w:rPr>
            </w:pPr>
            <w:r w:rsidRPr="00342D51">
              <w:rPr>
                <w:sz w:val="18"/>
                <w:szCs w:val="18"/>
              </w:rPr>
              <w:t xml:space="preserve">The objective and prespecified hypothesis are stated at the end of the Background. The analyses examine adjusted prognostic </w:t>
            </w:r>
            <w:r w:rsidRPr="00342D51">
              <w:rPr>
                <w:sz w:val="18"/>
                <w:szCs w:val="18"/>
              </w:rPr>
              <w:lastRenderedPageBreak/>
              <w:t>associations and are not designed to establish incremental discrimination, reclassification or clinical utility.</w:t>
            </w:r>
          </w:p>
        </w:tc>
      </w:tr>
      <w:tr w:rsidR="00191A23" w:rsidRPr="00342D51" w:rsidTr="00E341E9">
        <w:tc>
          <w:tcPr>
            <w:tcW w:w="12157" w:type="dxa"/>
            <w:gridSpan w:val="4"/>
            <w:vAlign w:val="center"/>
          </w:tcPr>
          <w:p w:rsidR="00191A23" w:rsidRPr="00342D51" w:rsidRDefault="00191A23" w:rsidP="0022554A">
            <w:pPr>
              <w:pStyle w:val="TableSubHead"/>
              <w:tabs>
                <w:tab w:val="left" w:pos="5400"/>
              </w:tabs>
              <w:spacing w:before="0"/>
              <w:rPr>
                <w:sz w:val="18"/>
                <w:szCs w:val="18"/>
              </w:rPr>
            </w:pPr>
            <w:bookmarkStart w:id="21" w:name="bold11"/>
            <w:bookmarkStart w:id="22" w:name="italic12"/>
            <w:bookmarkEnd w:id="19"/>
            <w:bookmarkEnd w:id="20"/>
            <w:r w:rsidRPr="00342D51">
              <w:rPr>
                <w:sz w:val="18"/>
                <w:szCs w:val="18"/>
              </w:rPr>
              <w:lastRenderedPageBreak/>
              <w:t>Methods</w:t>
            </w:r>
          </w:p>
        </w:tc>
        <w:bookmarkEnd w:id="21"/>
        <w:bookmarkEnd w:id="22"/>
        <w:tc>
          <w:tcPr>
            <w:tcW w:w="2835" w:type="dxa"/>
            <w:vAlign w:val="center"/>
          </w:tcPr>
          <w:p w:rsidR="00191A23" w:rsidRPr="00342D51" w:rsidRDefault="00191A23" w:rsidP="0022554A">
            <w:pPr>
              <w:pStyle w:val="TableSubHead"/>
              <w:tabs>
                <w:tab w:val="left" w:pos="5400"/>
              </w:tabs>
              <w:spacing w:before="0"/>
              <w:rPr>
                <w:sz w:val="18"/>
                <w:szCs w:val="18"/>
              </w:rPr>
            </w:pPr>
          </w:p>
        </w:tc>
      </w:tr>
      <w:tr w:rsidR="002E72E0" w:rsidRPr="00342D51" w:rsidTr="000108EE">
        <w:tc>
          <w:tcPr>
            <w:tcW w:w="1951" w:type="dxa"/>
            <w:vAlign w:val="center"/>
          </w:tcPr>
          <w:p w:rsidR="002E72E0" w:rsidRPr="00342D51" w:rsidRDefault="002E72E0" w:rsidP="002E72E0">
            <w:pPr>
              <w:tabs>
                <w:tab w:val="left" w:pos="5400"/>
              </w:tabs>
              <w:rPr>
                <w:bCs/>
                <w:sz w:val="18"/>
                <w:szCs w:val="18"/>
              </w:rPr>
            </w:pPr>
            <w:bookmarkStart w:id="23" w:name="bold12" w:colFirst="0" w:colLast="0"/>
            <w:bookmarkStart w:id="24" w:name="italic13" w:colFirst="0" w:colLast="0"/>
            <w:r w:rsidRPr="00342D51">
              <w:rPr>
                <w:bCs/>
                <w:sz w:val="18"/>
                <w:szCs w:val="18"/>
              </w:rPr>
              <w:t>Study design</w:t>
            </w:r>
          </w:p>
        </w:tc>
        <w:tc>
          <w:tcPr>
            <w:tcW w:w="616" w:type="dxa"/>
            <w:vAlign w:val="center"/>
          </w:tcPr>
          <w:p w:rsidR="002E72E0" w:rsidRPr="00342D51" w:rsidRDefault="002E72E0" w:rsidP="002E72E0">
            <w:pPr>
              <w:tabs>
                <w:tab w:val="left" w:pos="5400"/>
              </w:tabs>
              <w:jc w:val="center"/>
              <w:rPr>
                <w:sz w:val="18"/>
                <w:szCs w:val="18"/>
              </w:rPr>
            </w:pPr>
            <w:r w:rsidRPr="00342D51">
              <w:rPr>
                <w:sz w:val="18"/>
                <w:szCs w:val="18"/>
              </w:rPr>
              <w:t>4</w:t>
            </w:r>
          </w:p>
        </w:tc>
        <w:tc>
          <w:tcPr>
            <w:tcW w:w="8031" w:type="dxa"/>
            <w:vAlign w:val="center"/>
          </w:tcPr>
          <w:p w:rsidR="002E72E0" w:rsidRPr="00342D51" w:rsidRDefault="002E72E0" w:rsidP="002E72E0">
            <w:pPr>
              <w:tabs>
                <w:tab w:val="left" w:pos="5400"/>
              </w:tabs>
              <w:rPr>
                <w:sz w:val="18"/>
                <w:szCs w:val="18"/>
              </w:rPr>
            </w:pPr>
            <w:r w:rsidRPr="00342D51">
              <w:rPr>
                <w:sz w:val="18"/>
                <w:szCs w:val="18"/>
              </w:rPr>
              <w:t>Present key elements of study design early in the paper</w:t>
            </w:r>
          </w:p>
        </w:tc>
        <w:tc>
          <w:tcPr>
            <w:tcW w:w="1559" w:type="dxa"/>
          </w:tcPr>
          <w:p w:rsidR="002E72E0" w:rsidRPr="00342D51" w:rsidRDefault="002E72E0" w:rsidP="002E72E0">
            <w:pPr>
              <w:rPr>
                <w:sz w:val="18"/>
                <w:szCs w:val="18"/>
              </w:rPr>
            </w:pPr>
            <w:r w:rsidRPr="00342D51">
              <w:rPr>
                <w:sz w:val="18"/>
                <w:szCs w:val="18"/>
              </w:rPr>
              <w:t>Methods—Study design and participants</w:t>
            </w:r>
          </w:p>
        </w:tc>
        <w:tc>
          <w:tcPr>
            <w:tcW w:w="2835" w:type="dxa"/>
            <w:vAlign w:val="center"/>
          </w:tcPr>
          <w:p w:rsidR="002E72E0" w:rsidRPr="00342D51" w:rsidRDefault="002E72E0" w:rsidP="002E72E0">
            <w:pPr>
              <w:rPr>
                <w:sz w:val="18"/>
                <w:szCs w:val="18"/>
              </w:rPr>
            </w:pPr>
            <w:r w:rsidRPr="00342D51">
              <w:rPr>
                <w:sz w:val="18"/>
                <w:szCs w:val="18"/>
              </w:rPr>
              <w:t>Study described as a multicentre prospective observational cohort including critically ill older patients admitted to participating ICUs during a predefined 1-month period.</w:t>
            </w:r>
          </w:p>
        </w:tc>
      </w:tr>
      <w:tr w:rsidR="002E72E0" w:rsidRPr="00342D51" w:rsidTr="00E607A1">
        <w:tc>
          <w:tcPr>
            <w:tcW w:w="1951" w:type="dxa"/>
            <w:vAlign w:val="center"/>
          </w:tcPr>
          <w:p w:rsidR="002E72E0" w:rsidRPr="00342D51" w:rsidRDefault="002E72E0" w:rsidP="002E72E0">
            <w:pPr>
              <w:tabs>
                <w:tab w:val="left" w:pos="5400"/>
              </w:tabs>
              <w:rPr>
                <w:bCs/>
                <w:sz w:val="18"/>
                <w:szCs w:val="18"/>
              </w:rPr>
            </w:pPr>
            <w:bookmarkStart w:id="25" w:name="bold13" w:colFirst="0" w:colLast="0"/>
            <w:bookmarkStart w:id="26" w:name="italic14" w:colFirst="0" w:colLast="0"/>
            <w:bookmarkEnd w:id="23"/>
            <w:bookmarkEnd w:id="24"/>
            <w:r w:rsidRPr="00342D51">
              <w:rPr>
                <w:bCs/>
                <w:sz w:val="18"/>
                <w:szCs w:val="18"/>
              </w:rPr>
              <w:t>Setting</w:t>
            </w:r>
          </w:p>
        </w:tc>
        <w:tc>
          <w:tcPr>
            <w:tcW w:w="616" w:type="dxa"/>
            <w:vAlign w:val="center"/>
          </w:tcPr>
          <w:p w:rsidR="002E72E0" w:rsidRPr="00342D51" w:rsidRDefault="002E72E0" w:rsidP="002E72E0">
            <w:pPr>
              <w:tabs>
                <w:tab w:val="left" w:pos="5400"/>
              </w:tabs>
              <w:jc w:val="center"/>
              <w:rPr>
                <w:sz w:val="18"/>
                <w:szCs w:val="18"/>
              </w:rPr>
            </w:pPr>
            <w:r w:rsidRPr="00342D51">
              <w:rPr>
                <w:sz w:val="18"/>
                <w:szCs w:val="18"/>
              </w:rPr>
              <w:t>5</w:t>
            </w:r>
          </w:p>
        </w:tc>
        <w:tc>
          <w:tcPr>
            <w:tcW w:w="8031" w:type="dxa"/>
            <w:vAlign w:val="center"/>
          </w:tcPr>
          <w:p w:rsidR="002E72E0" w:rsidRPr="00342D51" w:rsidRDefault="002E72E0" w:rsidP="002E72E0">
            <w:pPr>
              <w:tabs>
                <w:tab w:val="left" w:pos="5400"/>
              </w:tabs>
              <w:rPr>
                <w:sz w:val="18"/>
                <w:szCs w:val="18"/>
              </w:rPr>
            </w:pPr>
            <w:r w:rsidRPr="00342D51">
              <w:rPr>
                <w:sz w:val="18"/>
                <w:szCs w:val="18"/>
              </w:rPr>
              <w:t>Describe the setting, locations, and relevant dates, including periods of recruitment, exposure, follow-up, and data collection</w:t>
            </w:r>
          </w:p>
        </w:tc>
        <w:tc>
          <w:tcPr>
            <w:tcW w:w="1559" w:type="dxa"/>
          </w:tcPr>
          <w:p w:rsidR="002E72E0" w:rsidRPr="00342D51" w:rsidRDefault="002E72E0" w:rsidP="002E72E0">
            <w:pPr>
              <w:rPr>
                <w:sz w:val="18"/>
                <w:szCs w:val="18"/>
              </w:rPr>
            </w:pPr>
            <w:r w:rsidRPr="00342D51">
              <w:rPr>
                <w:sz w:val="18"/>
                <w:szCs w:val="18"/>
              </w:rPr>
              <w:t>Methods—Study design and participants; Figure 1</w:t>
            </w:r>
          </w:p>
        </w:tc>
        <w:tc>
          <w:tcPr>
            <w:tcW w:w="2835" w:type="dxa"/>
            <w:vAlign w:val="center"/>
          </w:tcPr>
          <w:p w:rsidR="002E72E0" w:rsidRPr="00342D51" w:rsidRDefault="002E72E0" w:rsidP="002E72E0">
            <w:pPr>
              <w:rPr>
                <w:sz w:val="18"/>
                <w:szCs w:val="18"/>
              </w:rPr>
            </w:pPr>
            <w:r w:rsidRPr="00342D51">
              <w:rPr>
                <w:sz w:val="18"/>
                <w:szCs w:val="18"/>
              </w:rPr>
              <w:t>Setting: 55 adult mixed medical-surgical ICUs across 27 provinces in Türkiye; recruitment between 24 March and 22 April 2025; ICU follow-up and ascertainment of 30-day all-cause mortality after ICU admission.</w:t>
            </w:r>
          </w:p>
        </w:tc>
      </w:tr>
      <w:bookmarkEnd w:id="25"/>
      <w:bookmarkEnd w:id="26"/>
      <w:tr w:rsidR="002E72E0" w:rsidRPr="00342D51" w:rsidTr="005468B8">
        <w:tc>
          <w:tcPr>
            <w:tcW w:w="1951" w:type="dxa"/>
            <w:vMerge w:val="restart"/>
            <w:vAlign w:val="center"/>
          </w:tcPr>
          <w:p w:rsidR="002E72E0" w:rsidRPr="00342D51" w:rsidRDefault="002E72E0" w:rsidP="002E72E0">
            <w:pPr>
              <w:tabs>
                <w:tab w:val="left" w:pos="5400"/>
              </w:tabs>
              <w:rPr>
                <w:bCs/>
                <w:sz w:val="18"/>
                <w:szCs w:val="18"/>
              </w:rPr>
            </w:pPr>
            <w:r w:rsidRPr="00342D51">
              <w:rPr>
                <w:bCs/>
                <w:sz w:val="18"/>
                <w:szCs w:val="18"/>
              </w:rPr>
              <w:t>Participants</w:t>
            </w:r>
          </w:p>
        </w:tc>
        <w:tc>
          <w:tcPr>
            <w:tcW w:w="616" w:type="dxa"/>
            <w:vMerge w:val="restart"/>
            <w:vAlign w:val="center"/>
          </w:tcPr>
          <w:p w:rsidR="002E72E0" w:rsidRPr="00342D51" w:rsidRDefault="002E72E0" w:rsidP="002E72E0">
            <w:pPr>
              <w:tabs>
                <w:tab w:val="left" w:pos="5400"/>
              </w:tabs>
              <w:jc w:val="center"/>
              <w:rPr>
                <w:sz w:val="18"/>
                <w:szCs w:val="18"/>
              </w:rPr>
            </w:pPr>
            <w:r w:rsidRPr="00342D51">
              <w:rPr>
                <w:sz w:val="18"/>
                <w:szCs w:val="18"/>
              </w:rPr>
              <w:t>6</w:t>
            </w:r>
          </w:p>
        </w:tc>
        <w:tc>
          <w:tcPr>
            <w:tcW w:w="8031" w:type="dxa"/>
            <w:vAlign w:val="center"/>
          </w:tcPr>
          <w:p w:rsidR="002E72E0" w:rsidRPr="00342D51" w:rsidRDefault="002E72E0" w:rsidP="002E72E0">
            <w:pPr>
              <w:tabs>
                <w:tab w:val="left" w:pos="5400"/>
              </w:tabs>
              <w:rPr>
                <w:sz w:val="18"/>
                <w:szCs w:val="18"/>
              </w:rPr>
            </w:pPr>
            <w:r w:rsidRPr="00342D51">
              <w:rPr>
                <w:sz w:val="18"/>
                <w:szCs w:val="18"/>
              </w:rPr>
              <w:t>(</w:t>
            </w:r>
            <w:r w:rsidRPr="00342D51">
              <w:rPr>
                <w:i/>
                <w:sz w:val="18"/>
                <w:szCs w:val="18"/>
              </w:rPr>
              <w:t>a</w:t>
            </w:r>
            <w:r w:rsidRPr="00342D51">
              <w:rPr>
                <w:sz w:val="18"/>
                <w:szCs w:val="18"/>
              </w:rPr>
              <w:t xml:space="preserve">) </w:t>
            </w:r>
            <w:r w:rsidRPr="00342D51">
              <w:rPr>
                <w:i/>
                <w:sz w:val="18"/>
                <w:szCs w:val="18"/>
              </w:rPr>
              <w:t>Cohort study</w:t>
            </w:r>
            <w:r w:rsidRPr="00342D51">
              <w:rPr>
                <w:sz w:val="18"/>
                <w:szCs w:val="18"/>
              </w:rPr>
              <w:t>—Give the eligibility criteria, and the sources and methods of selection of participants. Describe methods of follow-up</w:t>
            </w:r>
          </w:p>
          <w:p w:rsidR="002E72E0" w:rsidRPr="00342D51" w:rsidRDefault="002E72E0" w:rsidP="002E72E0">
            <w:pPr>
              <w:tabs>
                <w:tab w:val="left" w:pos="5400"/>
              </w:tabs>
              <w:rPr>
                <w:sz w:val="18"/>
                <w:szCs w:val="18"/>
              </w:rPr>
            </w:pPr>
            <w:r w:rsidRPr="00342D51">
              <w:rPr>
                <w:i/>
                <w:sz w:val="18"/>
                <w:szCs w:val="18"/>
              </w:rPr>
              <w:t>Case-control study</w:t>
            </w:r>
            <w:r w:rsidRPr="00342D51">
              <w:rPr>
                <w:sz w:val="18"/>
                <w:szCs w:val="18"/>
              </w:rPr>
              <w:t>—Give the eligibility criteria, and the sources and methods of case ascertainment and control selection. Give the rationale for the choice of cases and controls</w:t>
            </w:r>
          </w:p>
          <w:p w:rsidR="002E72E0" w:rsidRPr="00342D51" w:rsidRDefault="002E72E0" w:rsidP="002E72E0">
            <w:pPr>
              <w:tabs>
                <w:tab w:val="left" w:pos="5400"/>
              </w:tabs>
              <w:rPr>
                <w:sz w:val="18"/>
                <w:szCs w:val="18"/>
              </w:rPr>
            </w:pPr>
            <w:r w:rsidRPr="00342D51">
              <w:rPr>
                <w:i/>
                <w:sz w:val="18"/>
                <w:szCs w:val="18"/>
              </w:rPr>
              <w:t>Cross-sectional study</w:t>
            </w:r>
            <w:r w:rsidRPr="00342D51">
              <w:rPr>
                <w:sz w:val="18"/>
                <w:szCs w:val="18"/>
              </w:rPr>
              <w:t>—Give the eligibility criteria, and the sources and methods of selection of participants</w:t>
            </w:r>
          </w:p>
        </w:tc>
        <w:tc>
          <w:tcPr>
            <w:tcW w:w="1559" w:type="dxa"/>
          </w:tcPr>
          <w:p w:rsidR="002E72E0" w:rsidRPr="00342D51" w:rsidRDefault="002E72E0" w:rsidP="002E72E0">
            <w:pPr>
              <w:rPr>
                <w:sz w:val="18"/>
                <w:szCs w:val="18"/>
              </w:rPr>
            </w:pPr>
            <w:r w:rsidRPr="00342D51">
              <w:rPr>
                <w:sz w:val="18"/>
                <w:szCs w:val="18"/>
              </w:rPr>
              <w:t>Methods—Inclusion and Exclusion Criteria; Figure 1</w:t>
            </w:r>
          </w:p>
        </w:tc>
        <w:tc>
          <w:tcPr>
            <w:tcW w:w="2835" w:type="dxa"/>
            <w:vAlign w:val="center"/>
          </w:tcPr>
          <w:p w:rsidR="002E72E0" w:rsidRPr="00342D51" w:rsidRDefault="002E72E0" w:rsidP="002E72E0">
            <w:pPr>
              <w:rPr>
                <w:sz w:val="18"/>
                <w:szCs w:val="18"/>
              </w:rPr>
            </w:pPr>
            <w:r w:rsidRPr="00342D51">
              <w:rPr>
                <w:sz w:val="18"/>
                <w:szCs w:val="18"/>
              </w:rPr>
              <w:t>Eligibility: age ≥65 years and ICU length of stay exceeding 48 hours. Exclusions included ICU stay &lt;48 hours, transfer to/from another ICU, tracheostomy at ICU admission and other prespecified criteria. Follow-up used hospital records and, when needed, contact with patients or relatives.</w:t>
            </w:r>
          </w:p>
        </w:tc>
      </w:tr>
      <w:tr w:rsidR="00191A23" w:rsidRPr="00342D51" w:rsidTr="00E341E9">
        <w:tc>
          <w:tcPr>
            <w:tcW w:w="1951" w:type="dxa"/>
            <w:vMerge/>
          </w:tcPr>
          <w:p w:rsidR="00191A23" w:rsidRPr="00342D51" w:rsidRDefault="00191A23" w:rsidP="0022554A">
            <w:pPr>
              <w:tabs>
                <w:tab w:val="left" w:pos="5400"/>
              </w:tabs>
              <w:rPr>
                <w:bCs/>
                <w:sz w:val="18"/>
                <w:szCs w:val="18"/>
              </w:rPr>
            </w:pPr>
            <w:bookmarkStart w:id="27" w:name="bold14" w:colFirst="0" w:colLast="0"/>
            <w:bookmarkStart w:id="28" w:name="italic15" w:colFirst="0" w:colLast="0"/>
          </w:p>
        </w:tc>
        <w:tc>
          <w:tcPr>
            <w:tcW w:w="616" w:type="dxa"/>
            <w:vMerge/>
          </w:tcPr>
          <w:p w:rsidR="00191A23" w:rsidRPr="00342D51" w:rsidRDefault="00191A23" w:rsidP="0022554A">
            <w:pPr>
              <w:tabs>
                <w:tab w:val="left" w:pos="5400"/>
              </w:tabs>
              <w:jc w:val="center"/>
              <w:rPr>
                <w:sz w:val="18"/>
                <w:szCs w:val="18"/>
              </w:rPr>
            </w:pPr>
          </w:p>
        </w:tc>
        <w:tc>
          <w:tcPr>
            <w:tcW w:w="8031" w:type="dxa"/>
            <w:vAlign w:val="center"/>
          </w:tcPr>
          <w:p w:rsidR="00191A23" w:rsidRPr="00342D51" w:rsidRDefault="00191A23" w:rsidP="0022554A">
            <w:pPr>
              <w:tabs>
                <w:tab w:val="left" w:pos="5400"/>
              </w:tabs>
              <w:rPr>
                <w:sz w:val="18"/>
                <w:szCs w:val="18"/>
              </w:rPr>
            </w:pPr>
            <w:r w:rsidRPr="00342D51">
              <w:rPr>
                <w:sz w:val="18"/>
                <w:szCs w:val="18"/>
              </w:rPr>
              <w:t>(</w:t>
            </w:r>
            <w:r w:rsidRPr="00342D51">
              <w:rPr>
                <w:i/>
                <w:sz w:val="18"/>
                <w:szCs w:val="18"/>
              </w:rPr>
              <w:t>b</w:t>
            </w:r>
            <w:r w:rsidRPr="00342D51">
              <w:rPr>
                <w:sz w:val="18"/>
                <w:szCs w:val="18"/>
              </w:rPr>
              <w:t>)</w:t>
            </w:r>
            <w:r w:rsidRPr="00342D51">
              <w:rPr>
                <w:b/>
                <w:bCs/>
                <w:sz w:val="18"/>
                <w:szCs w:val="18"/>
              </w:rPr>
              <w:t xml:space="preserve"> </w:t>
            </w:r>
            <w:r w:rsidRPr="00342D51">
              <w:rPr>
                <w:bCs/>
                <w:i/>
                <w:sz w:val="18"/>
                <w:szCs w:val="18"/>
              </w:rPr>
              <w:t>Cohort study</w:t>
            </w:r>
            <w:r w:rsidRPr="00342D51">
              <w:rPr>
                <w:sz w:val="18"/>
                <w:szCs w:val="18"/>
              </w:rPr>
              <w:t>—For matched studies, give matching criteria and number of exposed and unexposed</w:t>
            </w:r>
          </w:p>
          <w:p w:rsidR="00191A23" w:rsidRPr="00342D51" w:rsidRDefault="00191A23" w:rsidP="0022554A">
            <w:pPr>
              <w:tabs>
                <w:tab w:val="left" w:pos="5400"/>
              </w:tabs>
              <w:rPr>
                <w:i/>
                <w:sz w:val="18"/>
                <w:szCs w:val="18"/>
              </w:rPr>
            </w:pPr>
            <w:r w:rsidRPr="00342D51">
              <w:rPr>
                <w:bCs/>
                <w:i/>
                <w:sz w:val="18"/>
                <w:szCs w:val="18"/>
              </w:rPr>
              <w:t>Case-control study</w:t>
            </w:r>
            <w:r w:rsidRPr="00342D51">
              <w:rPr>
                <w:sz w:val="18"/>
                <w:szCs w:val="18"/>
              </w:rPr>
              <w:t>—For matched studies, give matching criteria and the number of controls per case</w:t>
            </w:r>
          </w:p>
        </w:tc>
        <w:tc>
          <w:tcPr>
            <w:tcW w:w="1559" w:type="dxa"/>
            <w:vAlign w:val="center"/>
          </w:tcPr>
          <w:p w:rsidR="00993FB7" w:rsidRPr="00342D51" w:rsidRDefault="00000000">
            <w:pPr>
              <w:rPr>
                <w:sz w:val="18"/>
                <w:szCs w:val="18"/>
              </w:rPr>
            </w:pPr>
            <w:r w:rsidRPr="00342D51">
              <w:rPr>
                <w:rFonts w:eastAsia="Arial"/>
                <w:sz w:val="18"/>
                <w:szCs w:val="18"/>
              </w:rPr>
              <w:t>Not applicable</w:t>
            </w:r>
          </w:p>
        </w:tc>
        <w:tc>
          <w:tcPr>
            <w:tcW w:w="2835" w:type="dxa"/>
            <w:vAlign w:val="center"/>
          </w:tcPr>
          <w:p w:rsidR="00993FB7" w:rsidRPr="00342D51" w:rsidRDefault="00000000">
            <w:pPr>
              <w:rPr>
                <w:sz w:val="18"/>
                <w:szCs w:val="18"/>
              </w:rPr>
            </w:pPr>
            <w:r w:rsidRPr="00342D51">
              <w:rPr>
                <w:rFonts w:eastAsia="Arial"/>
                <w:sz w:val="18"/>
                <w:szCs w:val="18"/>
              </w:rPr>
              <w:t>Not a matched cohort study; no matching criteria were used.</w:t>
            </w:r>
          </w:p>
        </w:tc>
      </w:tr>
      <w:tr w:rsidR="002E72E0" w:rsidRPr="00342D51" w:rsidTr="00D24D9C">
        <w:tc>
          <w:tcPr>
            <w:tcW w:w="1951" w:type="dxa"/>
            <w:vAlign w:val="center"/>
          </w:tcPr>
          <w:p w:rsidR="002E72E0" w:rsidRPr="00342D51" w:rsidRDefault="002E72E0" w:rsidP="002E72E0">
            <w:pPr>
              <w:tabs>
                <w:tab w:val="left" w:pos="5400"/>
              </w:tabs>
              <w:rPr>
                <w:bCs/>
                <w:sz w:val="18"/>
                <w:szCs w:val="18"/>
              </w:rPr>
            </w:pPr>
            <w:bookmarkStart w:id="29" w:name="bold16" w:colFirst="0" w:colLast="0"/>
            <w:bookmarkStart w:id="30" w:name="italic17" w:colFirst="0" w:colLast="0"/>
            <w:bookmarkEnd w:id="27"/>
            <w:bookmarkEnd w:id="28"/>
            <w:r w:rsidRPr="00342D51">
              <w:rPr>
                <w:bCs/>
                <w:sz w:val="18"/>
                <w:szCs w:val="18"/>
              </w:rPr>
              <w:t>Variables</w:t>
            </w:r>
          </w:p>
        </w:tc>
        <w:tc>
          <w:tcPr>
            <w:tcW w:w="616" w:type="dxa"/>
            <w:vAlign w:val="center"/>
          </w:tcPr>
          <w:p w:rsidR="002E72E0" w:rsidRPr="00342D51" w:rsidRDefault="002E72E0" w:rsidP="002E72E0">
            <w:pPr>
              <w:tabs>
                <w:tab w:val="left" w:pos="5400"/>
              </w:tabs>
              <w:jc w:val="center"/>
              <w:rPr>
                <w:sz w:val="18"/>
                <w:szCs w:val="18"/>
              </w:rPr>
            </w:pPr>
            <w:r w:rsidRPr="00342D51">
              <w:rPr>
                <w:sz w:val="18"/>
                <w:szCs w:val="18"/>
              </w:rPr>
              <w:t>7</w:t>
            </w:r>
          </w:p>
        </w:tc>
        <w:tc>
          <w:tcPr>
            <w:tcW w:w="8031" w:type="dxa"/>
            <w:vAlign w:val="center"/>
          </w:tcPr>
          <w:p w:rsidR="002E72E0" w:rsidRPr="00342D51" w:rsidRDefault="002E72E0" w:rsidP="002E72E0">
            <w:pPr>
              <w:tabs>
                <w:tab w:val="left" w:pos="5400"/>
              </w:tabs>
              <w:rPr>
                <w:sz w:val="18"/>
                <w:szCs w:val="18"/>
              </w:rPr>
            </w:pPr>
            <w:r w:rsidRPr="00342D51">
              <w:rPr>
                <w:sz w:val="18"/>
                <w:szCs w:val="18"/>
              </w:rPr>
              <w:t>Clearly define all outcomes, exposures, predictors, potential confounders, and effect modifiers. Give diagnostic criteria, if applicable</w:t>
            </w:r>
          </w:p>
        </w:tc>
        <w:tc>
          <w:tcPr>
            <w:tcW w:w="1559" w:type="dxa"/>
          </w:tcPr>
          <w:p w:rsidR="002E72E0" w:rsidRPr="00342D51" w:rsidRDefault="002E72E0" w:rsidP="002E72E0">
            <w:pPr>
              <w:rPr>
                <w:sz w:val="18"/>
                <w:szCs w:val="18"/>
              </w:rPr>
            </w:pPr>
            <w:r w:rsidRPr="00342D51">
              <w:rPr>
                <w:sz w:val="18"/>
                <w:szCs w:val="18"/>
              </w:rPr>
              <w:t xml:space="preserve">Methods—Data collection at ICU admission; Data collection during </w:t>
            </w:r>
            <w:r w:rsidRPr="00342D51">
              <w:rPr>
                <w:sz w:val="18"/>
                <w:szCs w:val="18"/>
              </w:rPr>
              <w:lastRenderedPageBreak/>
              <w:t>ICU follow-up; Outcomes of the study</w:t>
            </w:r>
          </w:p>
        </w:tc>
        <w:tc>
          <w:tcPr>
            <w:tcW w:w="2835" w:type="dxa"/>
            <w:vAlign w:val="center"/>
          </w:tcPr>
          <w:p w:rsidR="002E72E0" w:rsidRPr="00342D51" w:rsidRDefault="002E72E0" w:rsidP="002E72E0">
            <w:pPr>
              <w:rPr>
                <w:sz w:val="18"/>
                <w:szCs w:val="18"/>
              </w:rPr>
            </w:pPr>
            <w:r w:rsidRPr="00342D51">
              <w:rPr>
                <w:sz w:val="18"/>
                <w:szCs w:val="18"/>
              </w:rPr>
              <w:lastRenderedPageBreak/>
              <w:t xml:space="preserve">Definitions provided for the primary outcome, frailty/functional/nutritional measures, comorbidity, severity </w:t>
            </w:r>
            <w:r w:rsidRPr="00342D51">
              <w:rPr>
                <w:sz w:val="18"/>
                <w:szCs w:val="18"/>
              </w:rPr>
              <w:lastRenderedPageBreak/>
              <w:t>scores, organ support and ICU-acquired complications including VAP, AKI and delirium.</w:t>
            </w:r>
          </w:p>
        </w:tc>
      </w:tr>
      <w:tr w:rsidR="002E72E0" w:rsidRPr="00342D51" w:rsidTr="00690E61">
        <w:trPr>
          <w:trHeight w:val="294"/>
        </w:trPr>
        <w:tc>
          <w:tcPr>
            <w:tcW w:w="1951" w:type="dxa"/>
            <w:vAlign w:val="center"/>
          </w:tcPr>
          <w:p w:rsidR="002E72E0" w:rsidRPr="00342D51" w:rsidRDefault="002E72E0" w:rsidP="002E72E0">
            <w:pPr>
              <w:tabs>
                <w:tab w:val="left" w:pos="5400"/>
              </w:tabs>
              <w:rPr>
                <w:bCs/>
                <w:sz w:val="18"/>
                <w:szCs w:val="18"/>
              </w:rPr>
            </w:pPr>
            <w:bookmarkStart w:id="31" w:name="bold17"/>
            <w:bookmarkStart w:id="32" w:name="italic18"/>
            <w:bookmarkEnd w:id="29"/>
            <w:bookmarkEnd w:id="30"/>
            <w:r w:rsidRPr="00342D51">
              <w:rPr>
                <w:bCs/>
                <w:sz w:val="18"/>
                <w:szCs w:val="18"/>
              </w:rPr>
              <w:lastRenderedPageBreak/>
              <w:t>Data sources/</w:t>
            </w:r>
            <w:bookmarkStart w:id="33" w:name="bold18"/>
            <w:bookmarkStart w:id="34" w:name="italic19"/>
            <w:bookmarkEnd w:id="31"/>
            <w:bookmarkEnd w:id="32"/>
            <w:r w:rsidRPr="00342D51">
              <w:rPr>
                <w:bCs/>
                <w:sz w:val="18"/>
                <w:szCs w:val="18"/>
              </w:rPr>
              <w:t xml:space="preserve"> measurement</w:t>
            </w:r>
            <w:bookmarkEnd w:id="33"/>
            <w:bookmarkEnd w:id="34"/>
          </w:p>
        </w:tc>
        <w:tc>
          <w:tcPr>
            <w:tcW w:w="616" w:type="dxa"/>
            <w:vAlign w:val="center"/>
          </w:tcPr>
          <w:p w:rsidR="002E72E0" w:rsidRPr="00342D51" w:rsidRDefault="002E72E0" w:rsidP="002E72E0">
            <w:pPr>
              <w:tabs>
                <w:tab w:val="left" w:pos="5400"/>
              </w:tabs>
              <w:jc w:val="center"/>
              <w:rPr>
                <w:sz w:val="18"/>
                <w:szCs w:val="18"/>
              </w:rPr>
            </w:pPr>
            <w:r w:rsidRPr="00342D51">
              <w:rPr>
                <w:sz w:val="18"/>
                <w:szCs w:val="18"/>
              </w:rPr>
              <w:t>8</w:t>
            </w:r>
            <w:bookmarkStart w:id="35" w:name="bold19"/>
            <w:r w:rsidRPr="00342D51">
              <w:rPr>
                <w:bCs/>
                <w:sz w:val="18"/>
                <w:szCs w:val="18"/>
              </w:rPr>
              <w:t>*</w:t>
            </w:r>
            <w:bookmarkEnd w:id="35"/>
          </w:p>
        </w:tc>
        <w:tc>
          <w:tcPr>
            <w:tcW w:w="8031" w:type="dxa"/>
            <w:vAlign w:val="center"/>
          </w:tcPr>
          <w:p w:rsidR="002E72E0" w:rsidRPr="00342D51" w:rsidRDefault="002E72E0" w:rsidP="002E72E0">
            <w:pPr>
              <w:tabs>
                <w:tab w:val="left" w:pos="5400"/>
              </w:tabs>
              <w:rPr>
                <w:sz w:val="18"/>
                <w:szCs w:val="18"/>
              </w:rPr>
            </w:pPr>
            <w:r w:rsidRPr="00342D51">
              <w:rPr>
                <w:i/>
                <w:sz w:val="18"/>
                <w:szCs w:val="18"/>
              </w:rPr>
              <w:t xml:space="preserve"> </w:t>
            </w:r>
            <w:r w:rsidRPr="00342D51">
              <w:rPr>
                <w:sz w:val="18"/>
                <w:szCs w:val="18"/>
              </w:rPr>
              <w:t>For each variable of interest, give sources of data and details of methods of assessment (measurement). Describe comparability of assessment methods if there is more than one group</w:t>
            </w:r>
          </w:p>
        </w:tc>
        <w:tc>
          <w:tcPr>
            <w:tcW w:w="1559" w:type="dxa"/>
          </w:tcPr>
          <w:p w:rsidR="002E72E0" w:rsidRPr="00342D51" w:rsidRDefault="002E72E0" w:rsidP="002E72E0">
            <w:pPr>
              <w:rPr>
                <w:sz w:val="18"/>
                <w:szCs w:val="18"/>
              </w:rPr>
            </w:pPr>
            <w:r w:rsidRPr="00342D51">
              <w:rPr>
                <w:sz w:val="18"/>
                <w:szCs w:val="18"/>
              </w:rPr>
              <w:t>Methods—Data collection at ICU admission; Data collection during ICU follow-up</w:t>
            </w:r>
          </w:p>
        </w:tc>
        <w:tc>
          <w:tcPr>
            <w:tcW w:w="2835" w:type="dxa"/>
            <w:vAlign w:val="center"/>
          </w:tcPr>
          <w:p w:rsidR="00934427" w:rsidRPr="00342D51" w:rsidRDefault="00000000">
            <w:pPr>
              <w:rPr>
                <w:sz w:val="18"/>
                <w:szCs w:val="18"/>
              </w:rPr>
            </w:pPr>
            <w:r w:rsidRPr="00342D51">
              <w:rPr>
                <w:sz w:val="18"/>
                <w:szCs w:val="18"/>
              </w:rPr>
              <w:t>Data sources included hospital databases, medical records, patients, family proxies/next of kin, outpatient/hospital/nursing-home records when available, and follow-up contact. Assessment methods are described for CFS, FRAIL questionnaire, Katz ADL, CCI, SOFA, APACHE II, mNUTRIC and outcomes. Premorbid CFS, FRAIL and Katz ADL assessments were accepted only when supported by information from the patient, a family proxy or next of kin, or available clinical records; values were not assigned solely by unsupported inference or an undocumented best estimate. During central review, 35 CRFs were returned to the originating centres for clarification, principally concerning laboratory variables; all 35 were resolved before database lock, and none required clarification or correction of premorbid CFS, FRAIL or Katz ADL scores.</w:t>
            </w:r>
          </w:p>
        </w:tc>
      </w:tr>
      <w:tr w:rsidR="002E72E0" w:rsidRPr="00342D51" w:rsidTr="009037FB">
        <w:tc>
          <w:tcPr>
            <w:tcW w:w="1951" w:type="dxa"/>
            <w:vAlign w:val="center"/>
          </w:tcPr>
          <w:p w:rsidR="002E72E0" w:rsidRPr="00342D51" w:rsidRDefault="002E72E0" w:rsidP="002E72E0">
            <w:pPr>
              <w:tabs>
                <w:tab w:val="left" w:pos="5400"/>
              </w:tabs>
              <w:rPr>
                <w:bCs/>
                <w:color w:val="000000"/>
                <w:sz w:val="18"/>
                <w:szCs w:val="18"/>
              </w:rPr>
            </w:pPr>
            <w:bookmarkStart w:id="36" w:name="bold20" w:colFirst="0" w:colLast="0"/>
            <w:bookmarkStart w:id="37" w:name="italic20" w:colFirst="0" w:colLast="0"/>
            <w:r w:rsidRPr="00342D51">
              <w:rPr>
                <w:bCs/>
                <w:color w:val="000000"/>
                <w:sz w:val="18"/>
                <w:szCs w:val="18"/>
              </w:rPr>
              <w:t>Bias</w:t>
            </w:r>
          </w:p>
        </w:tc>
        <w:tc>
          <w:tcPr>
            <w:tcW w:w="616" w:type="dxa"/>
            <w:vAlign w:val="center"/>
          </w:tcPr>
          <w:p w:rsidR="002E72E0" w:rsidRPr="00342D51" w:rsidRDefault="002E72E0" w:rsidP="002E72E0">
            <w:pPr>
              <w:tabs>
                <w:tab w:val="left" w:pos="5400"/>
              </w:tabs>
              <w:jc w:val="center"/>
              <w:rPr>
                <w:sz w:val="18"/>
                <w:szCs w:val="18"/>
              </w:rPr>
            </w:pPr>
            <w:r w:rsidRPr="00342D51">
              <w:rPr>
                <w:sz w:val="18"/>
                <w:szCs w:val="18"/>
              </w:rPr>
              <w:t>9</w:t>
            </w:r>
          </w:p>
        </w:tc>
        <w:tc>
          <w:tcPr>
            <w:tcW w:w="8031" w:type="dxa"/>
            <w:vAlign w:val="center"/>
          </w:tcPr>
          <w:p w:rsidR="002E72E0" w:rsidRPr="00342D51" w:rsidRDefault="002E72E0" w:rsidP="002E72E0">
            <w:pPr>
              <w:tabs>
                <w:tab w:val="left" w:pos="5400"/>
              </w:tabs>
              <w:rPr>
                <w:color w:val="000000"/>
                <w:sz w:val="18"/>
                <w:szCs w:val="18"/>
              </w:rPr>
            </w:pPr>
            <w:r w:rsidRPr="00342D51">
              <w:rPr>
                <w:color w:val="000000"/>
                <w:sz w:val="18"/>
                <w:szCs w:val="18"/>
              </w:rPr>
              <w:t>Describe any efforts to address potential sources of bias</w:t>
            </w:r>
          </w:p>
        </w:tc>
        <w:tc>
          <w:tcPr>
            <w:tcW w:w="1559" w:type="dxa"/>
          </w:tcPr>
          <w:p w:rsidR="002E72E0" w:rsidRPr="00342D51" w:rsidRDefault="002E72E0" w:rsidP="002E72E0">
            <w:pPr>
              <w:rPr>
                <w:sz w:val="18"/>
                <w:szCs w:val="18"/>
              </w:rPr>
            </w:pPr>
            <w:r w:rsidRPr="00342D51">
              <w:rPr>
                <w:rFonts w:eastAsia="Arial"/>
                <w:sz w:val="18"/>
                <w:szCs w:val="18"/>
              </w:rPr>
              <w:t xml:space="preserve">Methods—Statistical Analysis; </w:t>
            </w:r>
            <w:r w:rsidRPr="00342D51">
              <w:rPr>
                <w:rFonts w:eastAsia="Arial"/>
                <w:sz w:val="18"/>
                <w:szCs w:val="18"/>
              </w:rPr>
              <w:lastRenderedPageBreak/>
              <w:t>Discussion—Limitations</w:t>
            </w:r>
          </w:p>
        </w:tc>
        <w:tc>
          <w:tcPr>
            <w:tcW w:w="2835" w:type="dxa"/>
            <w:vAlign w:val="center"/>
          </w:tcPr>
          <w:p w:rsidR="00934427" w:rsidRPr="00342D51" w:rsidRDefault="00000000">
            <w:pPr>
              <w:rPr>
                <w:sz w:val="18"/>
                <w:szCs w:val="18"/>
              </w:rPr>
            </w:pPr>
            <w:r w:rsidRPr="00342D51">
              <w:rPr>
                <w:sz w:val="18"/>
                <w:szCs w:val="18"/>
              </w:rPr>
              <w:lastRenderedPageBreak/>
              <w:t xml:space="preserve">Potential bias was addressed through standardised CRFs, prespecified definitions, central data </w:t>
            </w:r>
            <w:r w:rsidRPr="00342D51">
              <w:rPr>
                <w:sz w:val="18"/>
                <w:szCs w:val="18"/>
              </w:rPr>
              <w:lastRenderedPageBreak/>
              <w:t>checks, complete key-variable and 30-day outcome ascertainment, conditional 48-hour landmark analyses and centre-level sensitivity analyses. Missing, implausible or internally inconsistent entries were returned to the originating centre for clarification against the available source information before database lock; 35 queried CRFs were all resolved. Limitations address 48-hour selection, surrogate-reported premorbid assessments, absence of inter-rater reliability testing or central adjudication, centre heterogeneity, treatment limitations and unadjusted organ-support, adjunctive-therapy and complication comparisons.</w:t>
            </w:r>
          </w:p>
        </w:tc>
      </w:tr>
      <w:tr w:rsidR="002E72E0" w:rsidRPr="00342D51" w:rsidTr="00A266DE">
        <w:tc>
          <w:tcPr>
            <w:tcW w:w="1951" w:type="dxa"/>
            <w:vAlign w:val="center"/>
          </w:tcPr>
          <w:p w:rsidR="002E72E0" w:rsidRPr="00342D51" w:rsidRDefault="002E72E0" w:rsidP="002E72E0">
            <w:pPr>
              <w:tabs>
                <w:tab w:val="left" w:pos="5400"/>
              </w:tabs>
              <w:rPr>
                <w:bCs/>
                <w:sz w:val="18"/>
                <w:szCs w:val="18"/>
              </w:rPr>
            </w:pPr>
            <w:bookmarkStart w:id="38" w:name="bold21" w:colFirst="0" w:colLast="0"/>
            <w:bookmarkStart w:id="39" w:name="italic21" w:colFirst="0" w:colLast="0"/>
            <w:bookmarkEnd w:id="36"/>
            <w:bookmarkEnd w:id="37"/>
            <w:r w:rsidRPr="00342D51">
              <w:rPr>
                <w:bCs/>
                <w:sz w:val="18"/>
                <w:szCs w:val="18"/>
              </w:rPr>
              <w:t>Study size</w:t>
            </w:r>
          </w:p>
        </w:tc>
        <w:tc>
          <w:tcPr>
            <w:tcW w:w="616" w:type="dxa"/>
            <w:vAlign w:val="center"/>
          </w:tcPr>
          <w:p w:rsidR="002E72E0" w:rsidRPr="00342D51" w:rsidRDefault="002E72E0" w:rsidP="002E72E0">
            <w:pPr>
              <w:tabs>
                <w:tab w:val="left" w:pos="5400"/>
              </w:tabs>
              <w:jc w:val="center"/>
              <w:rPr>
                <w:sz w:val="18"/>
                <w:szCs w:val="18"/>
              </w:rPr>
            </w:pPr>
            <w:r w:rsidRPr="00342D51">
              <w:rPr>
                <w:sz w:val="18"/>
                <w:szCs w:val="18"/>
              </w:rPr>
              <w:t>10</w:t>
            </w:r>
          </w:p>
        </w:tc>
        <w:tc>
          <w:tcPr>
            <w:tcW w:w="8031" w:type="dxa"/>
            <w:vAlign w:val="center"/>
          </w:tcPr>
          <w:p w:rsidR="002E72E0" w:rsidRPr="00342D51" w:rsidRDefault="002E72E0" w:rsidP="002E72E0">
            <w:pPr>
              <w:tabs>
                <w:tab w:val="left" w:pos="5400"/>
              </w:tabs>
              <w:rPr>
                <w:sz w:val="18"/>
                <w:szCs w:val="18"/>
              </w:rPr>
            </w:pPr>
            <w:r w:rsidRPr="00342D51">
              <w:rPr>
                <w:sz w:val="18"/>
                <w:szCs w:val="18"/>
              </w:rPr>
              <w:t>Explain how the study size was arrived at</w:t>
            </w:r>
          </w:p>
        </w:tc>
        <w:tc>
          <w:tcPr>
            <w:tcW w:w="1559" w:type="dxa"/>
          </w:tcPr>
          <w:p w:rsidR="002E72E0" w:rsidRPr="00342D51" w:rsidRDefault="002E72E0" w:rsidP="002E72E0">
            <w:pPr>
              <w:rPr>
                <w:sz w:val="18"/>
                <w:szCs w:val="18"/>
              </w:rPr>
            </w:pPr>
            <w:r w:rsidRPr="00342D51">
              <w:rPr>
                <w:sz w:val="18"/>
                <w:szCs w:val="18"/>
              </w:rPr>
              <w:t>Methods—Study size</w:t>
            </w:r>
          </w:p>
        </w:tc>
        <w:tc>
          <w:tcPr>
            <w:tcW w:w="2835" w:type="dxa"/>
            <w:vAlign w:val="center"/>
          </w:tcPr>
          <w:p w:rsidR="002E72E0" w:rsidRPr="00342D51" w:rsidRDefault="002E72E0" w:rsidP="002E72E0">
            <w:pPr>
              <w:rPr>
                <w:sz w:val="18"/>
                <w:szCs w:val="18"/>
              </w:rPr>
            </w:pPr>
            <w:r w:rsidRPr="00342D51">
              <w:rPr>
                <w:sz w:val="18"/>
                <w:szCs w:val="18"/>
              </w:rPr>
              <w:t>No formal a priori sample-size calculation was performed; all consecutive eligible patients during the predefined 1-month recruitment period were included.</w:t>
            </w:r>
          </w:p>
        </w:tc>
      </w:tr>
    </w:tbl>
    <w:p w:rsidR="00191A23" w:rsidRPr="00342D51" w:rsidRDefault="00191A23">
      <w:pPr>
        <w:rPr>
          <w:sz w:val="18"/>
          <w:szCs w:val="18"/>
        </w:rPr>
      </w:pPr>
      <w:bookmarkStart w:id="40" w:name="bold22"/>
      <w:bookmarkStart w:id="41" w:name="italic22"/>
      <w:bookmarkEnd w:id="38"/>
      <w:bookmarkEnd w:id="39"/>
      <w:r w:rsidRPr="00342D51">
        <w:rPr>
          <w:sz w:val="18"/>
          <w:szCs w:val="18"/>
        </w:rPr>
        <w:br w:type="page"/>
      </w: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519"/>
        <w:gridCol w:w="747"/>
        <w:gridCol w:w="8278"/>
        <w:gridCol w:w="1336"/>
        <w:gridCol w:w="3112"/>
      </w:tblGrid>
      <w:tr w:rsidR="002E72E0" w:rsidRPr="00342D51" w:rsidTr="00126375">
        <w:tc>
          <w:tcPr>
            <w:tcW w:w="1519" w:type="dxa"/>
            <w:vAlign w:val="center"/>
          </w:tcPr>
          <w:bookmarkEnd w:id="40"/>
          <w:bookmarkEnd w:id="41"/>
          <w:p w:rsidR="002E72E0" w:rsidRPr="00342D51" w:rsidRDefault="002E72E0" w:rsidP="002E72E0">
            <w:pPr>
              <w:tabs>
                <w:tab w:val="left" w:pos="5400"/>
              </w:tabs>
              <w:rPr>
                <w:bCs/>
                <w:sz w:val="18"/>
                <w:szCs w:val="18"/>
              </w:rPr>
            </w:pPr>
            <w:r w:rsidRPr="00342D51">
              <w:rPr>
                <w:bCs/>
                <w:sz w:val="18"/>
                <w:szCs w:val="18"/>
              </w:rPr>
              <w:lastRenderedPageBreak/>
              <w:t>Quantitative</w:t>
            </w:r>
            <w:bookmarkStart w:id="42" w:name="bold23"/>
            <w:bookmarkStart w:id="43" w:name="italic23"/>
            <w:r w:rsidRPr="00342D51">
              <w:rPr>
                <w:bCs/>
                <w:sz w:val="18"/>
                <w:szCs w:val="18"/>
              </w:rPr>
              <w:t xml:space="preserve"> variables</w:t>
            </w:r>
            <w:bookmarkEnd w:id="42"/>
            <w:bookmarkEnd w:id="43"/>
          </w:p>
        </w:tc>
        <w:tc>
          <w:tcPr>
            <w:tcW w:w="747" w:type="dxa"/>
            <w:vAlign w:val="center"/>
          </w:tcPr>
          <w:p w:rsidR="002E72E0" w:rsidRPr="00342D51" w:rsidRDefault="002E72E0" w:rsidP="002E72E0">
            <w:pPr>
              <w:tabs>
                <w:tab w:val="left" w:pos="5400"/>
              </w:tabs>
              <w:jc w:val="center"/>
              <w:rPr>
                <w:sz w:val="18"/>
                <w:szCs w:val="18"/>
              </w:rPr>
            </w:pPr>
            <w:r w:rsidRPr="00342D51">
              <w:rPr>
                <w:sz w:val="18"/>
                <w:szCs w:val="18"/>
              </w:rPr>
              <w:t>11</w:t>
            </w:r>
          </w:p>
        </w:tc>
        <w:tc>
          <w:tcPr>
            <w:tcW w:w="8278" w:type="dxa"/>
            <w:vAlign w:val="center"/>
          </w:tcPr>
          <w:p w:rsidR="002E72E0" w:rsidRPr="00342D51" w:rsidRDefault="002E72E0" w:rsidP="002E72E0">
            <w:pPr>
              <w:tabs>
                <w:tab w:val="left" w:pos="5400"/>
              </w:tabs>
              <w:rPr>
                <w:sz w:val="18"/>
                <w:szCs w:val="18"/>
              </w:rPr>
            </w:pPr>
            <w:r w:rsidRPr="00342D51">
              <w:rPr>
                <w:sz w:val="18"/>
                <w:szCs w:val="18"/>
              </w:rPr>
              <w:t>Explain how quantitative variables were handled in the analyses. If applicable, describe which groupings were chosen and why</w:t>
            </w:r>
          </w:p>
        </w:tc>
        <w:tc>
          <w:tcPr>
            <w:tcW w:w="1336" w:type="dxa"/>
          </w:tcPr>
          <w:p w:rsidR="002E72E0" w:rsidRPr="00342D51" w:rsidRDefault="002E72E0" w:rsidP="002E72E0">
            <w:pPr>
              <w:rPr>
                <w:sz w:val="18"/>
                <w:szCs w:val="18"/>
              </w:rPr>
            </w:pPr>
            <w:r w:rsidRPr="00342D51">
              <w:rPr>
                <w:rFonts w:eastAsia="Arial"/>
                <w:sz w:val="18"/>
                <w:szCs w:val="18"/>
              </w:rPr>
              <w:t>Methods—Statistical Analysis</w:t>
            </w:r>
          </w:p>
        </w:tc>
        <w:tc>
          <w:tcPr>
            <w:tcW w:w="3112" w:type="dxa"/>
            <w:vAlign w:val="center"/>
          </w:tcPr>
          <w:p w:rsidR="002E72E0" w:rsidRPr="00342D51" w:rsidRDefault="002E72E0" w:rsidP="002E72E0">
            <w:pPr>
              <w:rPr>
                <w:sz w:val="18"/>
                <w:szCs w:val="18"/>
              </w:rPr>
            </w:pPr>
            <w:r w:rsidRPr="00342D51">
              <w:rPr>
                <w:sz w:val="18"/>
                <w:szCs w:val="18"/>
              </w:rPr>
              <w:t>Continuous variables summarised as mean±SD or median [IQR]; categorical variables as n (%). Age, SOFA score and CCI were retained as continuous variables. Prespecified clinical categories were reported for age strata, CFS, FRAIL questionnaire, Katz ADL and mNUTRIC; CFS was additionally analysed using clinically meaningful categories (&lt;5, 5–6 and 7–9).</w:t>
            </w:r>
          </w:p>
        </w:tc>
      </w:tr>
      <w:tr w:rsidR="002E72E0" w:rsidRPr="00342D51" w:rsidTr="009A4BCA">
        <w:tc>
          <w:tcPr>
            <w:tcW w:w="1519" w:type="dxa"/>
            <w:vMerge w:val="restart"/>
            <w:vAlign w:val="center"/>
          </w:tcPr>
          <w:p w:rsidR="002E72E0" w:rsidRPr="00342D51" w:rsidRDefault="002E72E0" w:rsidP="002E72E0">
            <w:pPr>
              <w:tabs>
                <w:tab w:val="left" w:pos="5400"/>
              </w:tabs>
              <w:rPr>
                <w:sz w:val="18"/>
                <w:szCs w:val="18"/>
              </w:rPr>
            </w:pPr>
            <w:bookmarkStart w:id="44" w:name="italic24"/>
            <w:r w:rsidRPr="00342D51">
              <w:rPr>
                <w:sz w:val="18"/>
                <w:szCs w:val="18"/>
              </w:rPr>
              <w:t>Statistical</w:t>
            </w:r>
            <w:bookmarkStart w:id="45" w:name="italic25"/>
            <w:bookmarkEnd w:id="44"/>
            <w:r w:rsidRPr="00342D51">
              <w:rPr>
                <w:sz w:val="18"/>
                <w:szCs w:val="18"/>
              </w:rPr>
              <w:t xml:space="preserve"> methods</w:t>
            </w:r>
            <w:bookmarkEnd w:id="45"/>
          </w:p>
        </w:tc>
        <w:tc>
          <w:tcPr>
            <w:tcW w:w="747" w:type="dxa"/>
            <w:vMerge w:val="restart"/>
            <w:vAlign w:val="center"/>
          </w:tcPr>
          <w:p w:rsidR="002E72E0" w:rsidRPr="00342D51" w:rsidRDefault="002E72E0" w:rsidP="002E72E0">
            <w:pPr>
              <w:tabs>
                <w:tab w:val="left" w:pos="5400"/>
              </w:tabs>
              <w:jc w:val="center"/>
              <w:rPr>
                <w:sz w:val="18"/>
                <w:szCs w:val="18"/>
              </w:rPr>
            </w:pPr>
            <w:r w:rsidRPr="00342D51">
              <w:rPr>
                <w:sz w:val="18"/>
                <w:szCs w:val="18"/>
              </w:rPr>
              <w:t>12</w:t>
            </w:r>
          </w:p>
        </w:tc>
        <w:tc>
          <w:tcPr>
            <w:tcW w:w="8278" w:type="dxa"/>
            <w:vAlign w:val="center"/>
          </w:tcPr>
          <w:p w:rsidR="002E72E0" w:rsidRPr="00342D51" w:rsidRDefault="002E72E0" w:rsidP="002E72E0">
            <w:pPr>
              <w:tabs>
                <w:tab w:val="left" w:pos="5400"/>
              </w:tabs>
              <w:rPr>
                <w:sz w:val="18"/>
                <w:szCs w:val="18"/>
              </w:rPr>
            </w:pPr>
            <w:r w:rsidRPr="00342D51">
              <w:rPr>
                <w:sz w:val="18"/>
                <w:szCs w:val="18"/>
              </w:rPr>
              <w:t>(</w:t>
            </w:r>
            <w:r w:rsidRPr="00342D51">
              <w:rPr>
                <w:i/>
                <w:sz w:val="18"/>
                <w:szCs w:val="18"/>
              </w:rPr>
              <w:t>a</w:t>
            </w:r>
            <w:r w:rsidRPr="00342D51">
              <w:rPr>
                <w:sz w:val="18"/>
                <w:szCs w:val="18"/>
              </w:rPr>
              <w:t>) Describe all statistical methods, including those used to control for confounding</w:t>
            </w:r>
          </w:p>
        </w:tc>
        <w:tc>
          <w:tcPr>
            <w:tcW w:w="1336" w:type="dxa"/>
          </w:tcPr>
          <w:p w:rsidR="002E72E0" w:rsidRPr="00342D51" w:rsidRDefault="002E72E0" w:rsidP="002E72E0">
            <w:pPr>
              <w:rPr>
                <w:sz w:val="18"/>
                <w:szCs w:val="18"/>
              </w:rPr>
            </w:pPr>
            <w:r w:rsidRPr="00342D51">
              <w:rPr>
                <w:rFonts w:eastAsia="Arial"/>
                <w:sz w:val="18"/>
                <w:szCs w:val="18"/>
              </w:rPr>
              <w:t>Methods—Statistical Analysis</w:t>
            </w:r>
          </w:p>
        </w:tc>
        <w:tc>
          <w:tcPr>
            <w:tcW w:w="3112" w:type="dxa"/>
            <w:vAlign w:val="center"/>
          </w:tcPr>
          <w:p w:rsidR="00934427" w:rsidRPr="00342D51" w:rsidRDefault="00000000">
            <w:pPr>
              <w:rPr>
                <w:sz w:val="18"/>
                <w:szCs w:val="18"/>
              </w:rPr>
            </w:pPr>
            <w:r w:rsidRPr="00342D51">
              <w:rPr>
                <w:sz w:val="18"/>
                <w:szCs w:val="18"/>
              </w:rPr>
              <w:t xml:space="preserve">Statistical methods include descriptive and unadjusted comparisons, conditional 48-hour landmark Kaplan-Meier and Cox analyses, multivariable adjustment, an auxiliary linear-regression VIF diagnostic used solely to assess predictor multicollinearity, centre-clustered robust Cox models, and mixed-effects Cox models with ICU centre as a random effect/shared-frailty term. Proportional-hazards assumptions were assessed using Grambsch-Therneau tests based on scaled Schoenfeld residuals with Kaplan-Meier time transformation and graphical residual inspection. Breslow tie handling was retained for the principal models for continuity with the original SPSS analyses, and all six models were refitted using Efron as a sensitivity analysis. The Methods identify SPSS version 23.0 and R </w:t>
            </w:r>
            <w:r w:rsidRPr="00342D51">
              <w:rPr>
                <w:sz w:val="18"/>
                <w:szCs w:val="18"/>
              </w:rPr>
              <w:lastRenderedPageBreak/>
              <w:t>version 4.6.1 with the survival and coxme packages; exact code and complete outputs are supplied in Supplementary File 2. The locally recorded APACHE II mortality comparison is described as a secondary exploratory agreement analysis rather than model validation or recalibration.</w:t>
            </w:r>
          </w:p>
        </w:tc>
      </w:tr>
      <w:tr w:rsidR="002E72E0" w:rsidRPr="00342D51" w:rsidTr="00F3027C">
        <w:tc>
          <w:tcPr>
            <w:tcW w:w="1519" w:type="dxa"/>
            <w:vMerge/>
          </w:tcPr>
          <w:p w:rsidR="002E72E0" w:rsidRPr="00342D51" w:rsidRDefault="002E72E0" w:rsidP="002E72E0">
            <w:pPr>
              <w:tabs>
                <w:tab w:val="left" w:pos="5400"/>
              </w:tabs>
              <w:rPr>
                <w:bCs/>
                <w:sz w:val="18"/>
                <w:szCs w:val="18"/>
              </w:rPr>
            </w:pPr>
            <w:bookmarkStart w:id="46" w:name="bold24" w:colFirst="0" w:colLast="0"/>
            <w:bookmarkStart w:id="47" w:name="italic26" w:colFirst="0" w:colLast="0"/>
          </w:p>
        </w:tc>
        <w:tc>
          <w:tcPr>
            <w:tcW w:w="747" w:type="dxa"/>
            <w:vMerge/>
          </w:tcPr>
          <w:p w:rsidR="002E72E0" w:rsidRPr="00342D51" w:rsidRDefault="002E72E0" w:rsidP="002E72E0">
            <w:pPr>
              <w:tabs>
                <w:tab w:val="left" w:pos="5400"/>
              </w:tabs>
              <w:jc w:val="center"/>
              <w:rPr>
                <w:sz w:val="18"/>
                <w:szCs w:val="18"/>
              </w:rPr>
            </w:pPr>
          </w:p>
        </w:tc>
        <w:tc>
          <w:tcPr>
            <w:tcW w:w="8278" w:type="dxa"/>
            <w:vAlign w:val="center"/>
          </w:tcPr>
          <w:p w:rsidR="002E72E0" w:rsidRPr="00342D51" w:rsidRDefault="002E72E0" w:rsidP="002E72E0">
            <w:pPr>
              <w:tabs>
                <w:tab w:val="left" w:pos="5400"/>
              </w:tabs>
              <w:rPr>
                <w:sz w:val="18"/>
                <w:szCs w:val="18"/>
              </w:rPr>
            </w:pPr>
            <w:r w:rsidRPr="00342D51">
              <w:rPr>
                <w:sz w:val="18"/>
                <w:szCs w:val="18"/>
              </w:rPr>
              <w:t>(</w:t>
            </w:r>
            <w:r w:rsidRPr="00342D51">
              <w:rPr>
                <w:i/>
                <w:sz w:val="18"/>
                <w:szCs w:val="18"/>
              </w:rPr>
              <w:t>b</w:t>
            </w:r>
            <w:r w:rsidRPr="00342D51">
              <w:rPr>
                <w:sz w:val="18"/>
                <w:szCs w:val="18"/>
              </w:rPr>
              <w:t>) Describe any methods used to examine subgroups and interactions</w:t>
            </w:r>
          </w:p>
        </w:tc>
        <w:tc>
          <w:tcPr>
            <w:tcW w:w="1336" w:type="dxa"/>
          </w:tcPr>
          <w:p w:rsidR="002E72E0" w:rsidRPr="00342D51" w:rsidRDefault="002E72E0" w:rsidP="002E72E0">
            <w:pPr>
              <w:rPr>
                <w:sz w:val="18"/>
                <w:szCs w:val="18"/>
              </w:rPr>
            </w:pPr>
            <w:r w:rsidRPr="00342D51">
              <w:rPr>
                <w:rFonts w:eastAsia="Arial"/>
                <w:sz w:val="18"/>
                <w:szCs w:val="18"/>
              </w:rPr>
              <w:t>Methods—Statistical Analysis; Results</w:t>
            </w:r>
          </w:p>
        </w:tc>
        <w:tc>
          <w:tcPr>
            <w:tcW w:w="3112" w:type="dxa"/>
            <w:vAlign w:val="center"/>
          </w:tcPr>
          <w:p w:rsidR="002E72E0" w:rsidRPr="00342D51" w:rsidRDefault="002E72E0" w:rsidP="002E72E0">
            <w:pPr>
              <w:rPr>
                <w:sz w:val="18"/>
                <w:szCs w:val="18"/>
              </w:rPr>
            </w:pPr>
            <w:r w:rsidRPr="00342D51">
              <w:rPr>
                <w:sz w:val="18"/>
                <w:szCs w:val="18"/>
              </w:rPr>
              <w:t>Risk-group analyses included Kaplan-Meier curves by age strata, CFS, Katz ADL, FRAIL questionnaire and mNUTRIC categories; CFS categorical Cox sensitivity analysis also reported.</w:t>
            </w:r>
          </w:p>
        </w:tc>
      </w:tr>
      <w:tr w:rsidR="002E72E0" w:rsidRPr="00342D51" w:rsidTr="002E46EE">
        <w:tc>
          <w:tcPr>
            <w:tcW w:w="1519" w:type="dxa"/>
            <w:vMerge/>
          </w:tcPr>
          <w:p w:rsidR="002E72E0" w:rsidRPr="00342D51" w:rsidRDefault="002E72E0" w:rsidP="002E72E0">
            <w:pPr>
              <w:tabs>
                <w:tab w:val="left" w:pos="5400"/>
              </w:tabs>
              <w:rPr>
                <w:bCs/>
                <w:sz w:val="18"/>
                <w:szCs w:val="18"/>
              </w:rPr>
            </w:pPr>
            <w:bookmarkStart w:id="48" w:name="bold25" w:colFirst="0" w:colLast="0"/>
            <w:bookmarkStart w:id="49" w:name="italic27" w:colFirst="0" w:colLast="0"/>
            <w:bookmarkEnd w:id="46"/>
            <w:bookmarkEnd w:id="47"/>
          </w:p>
        </w:tc>
        <w:tc>
          <w:tcPr>
            <w:tcW w:w="747" w:type="dxa"/>
            <w:vMerge/>
          </w:tcPr>
          <w:p w:rsidR="002E72E0" w:rsidRPr="00342D51" w:rsidRDefault="002E72E0" w:rsidP="002E72E0">
            <w:pPr>
              <w:tabs>
                <w:tab w:val="left" w:pos="5400"/>
              </w:tabs>
              <w:jc w:val="center"/>
              <w:rPr>
                <w:sz w:val="18"/>
                <w:szCs w:val="18"/>
              </w:rPr>
            </w:pPr>
          </w:p>
        </w:tc>
        <w:tc>
          <w:tcPr>
            <w:tcW w:w="8278" w:type="dxa"/>
            <w:vAlign w:val="center"/>
          </w:tcPr>
          <w:p w:rsidR="002E72E0" w:rsidRPr="00342D51" w:rsidRDefault="002E72E0" w:rsidP="002E72E0">
            <w:pPr>
              <w:tabs>
                <w:tab w:val="left" w:pos="5400"/>
              </w:tabs>
              <w:rPr>
                <w:sz w:val="18"/>
                <w:szCs w:val="18"/>
              </w:rPr>
            </w:pPr>
            <w:r w:rsidRPr="00342D51">
              <w:rPr>
                <w:sz w:val="18"/>
                <w:szCs w:val="18"/>
              </w:rPr>
              <w:t>(</w:t>
            </w:r>
            <w:r w:rsidRPr="00342D51">
              <w:rPr>
                <w:i/>
                <w:sz w:val="18"/>
                <w:szCs w:val="18"/>
              </w:rPr>
              <w:t>c</w:t>
            </w:r>
            <w:r w:rsidRPr="00342D51">
              <w:rPr>
                <w:sz w:val="18"/>
                <w:szCs w:val="18"/>
              </w:rPr>
              <w:t>) Explain how missing data were addressed</w:t>
            </w:r>
          </w:p>
        </w:tc>
        <w:tc>
          <w:tcPr>
            <w:tcW w:w="1336" w:type="dxa"/>
          </w:tcPr>
          <w:p w:rsidR="002E72E0" w:rsidRPr="00342D51" w:rsidRDefault="002E72E0" w:rsidP="002E72E0">
            <w:pPr>
              <w:rPr>
                <w:sz w:val="18"/>
                <w:szCs w:val="18"/>
              </w:rPr>
            </w:pPr>
            <w:r w:rsidRPr="00342D51">
              <w:rPr>
                <w:rFonts w:eastAsia="Arial"/>
                <w:sz w:val="18"/>
                <w:szCs w:val="18"/>
              </w:rPr>
              <w:t>Methods—Statistical Analysis; Results—Factors Associated with 30-Day Mortality</w:t>
            </w:r>
          </w:p>
        </w:tc>
        <w:tc>
          <w:tcPr>
            <w:tcW w:w="3112" w:type="dxa"/>
            <w:vAlign w:val="center"/>
          </w:tcPr>
          <w:p w:rsidR="002E72E0" w:rsidRPr="00342D51" w:rsidRDefault="009F17F4" w:rsidP="002E72E0">
            <w:pPr>
              <w:rPr>
                <w:sz w:val="18"/>
                <w:szCs w:val="18"/>
              </w:rPr>
            </w:pPr>
            <w:r w:rsidRPr="00342D51">
              <w:rPr>
                <w:rFonts w:eastAsia="Arial"/>
                <w:sz w:val="18"/>
                <w:szCs w:val="18"/>
              </w:rPr>
              <w:t>The primary analyses used the same complete-case cohort of 1,529 patients with 515 deaths. Complete ascertainment reflected prospective completion of mandatory CRF fields and resolution of centre-level data queries before database lock. No statistical imputation or unsupported assignment of premorbid scores was performed, and no patient was excluded because of incomplete key clinical data or inability to assess pre-ICU functional status</w:t>
            </w:r>
          </w:p>
        </w:tc>
      </w:tr>
      <w:tr w:rsidR="002E72E0" w:rsidRPr="00342D51" w:rsidTr="00C95B4A">
        <w:tc>
          <w:tcPr>
            <w:tcW w:w="1519" w:type="dxa"/>
            <w:vMerge/>
          </w:tcPr>
          <w:p w:rsidR="002E72E0" w:rsidRPr="00342D51" w:rsidRDefault="002E72E0" w:rsidP="002E72E0">
            <w:pPr>
              <w:tabs>
                <w:tab w:val="left" w:pos="5400"/>
              </w:tabs>
              <w:rPr>
                <w:bCs/>
                <w:sz w:val="18"/>
                <w:szCs w:val="18"/>
              </w:rPr>
            </w:pPr>
            <w:bookmarkStart w:id="50" w:name="bold26" w:colFirst="0" w:colLast="0"/>
            <w:bookmarkStart w:id="51" w:name="italic28" w:colFirst="0" w:colLast="0"/>
            <w:bookmarkEnd w:id="48"/>
            <w:bookmarkEnd w:id="49"/>
          </w:p>
        </w:tc>
        <w:tc>
          <w:tcPr>
            <w:tcW w:w="747" w:type="dxa"/>
            <w:vMerge/>
          </w:tcPr>
          <w:p w:rsidR="002E72E0" w:rsidRPr="00342D51" w:rsidRDefault="002E72E0" w:rsidP="002E72E0">
            <w:pPr>
              <w:tabs>
                <w:tab w:val="left" w:pos="5400"/>
              </w:tabs>
              <w:jc w:val="center"/>
              <w:rPr>
                <w:sz w:val="18"/>
                <w:szCs w:val="18"/>
              </w:rPr>
            </w:pPr>
          </w:p>
        </w:tc>
        <w:tc>
          <w:tcPr>
            <w:tcW w:w="8278" w:type="dxa"/>
            <w:vAlign w:val="center"/>
          </w:tcPr>
          <w:p w:rsidR="002E72E0" w:rsidRPr="00342D51" w:rsidRDefault="002E72E0" w:rsidP="002E72E0">
            <w:pPr>
              <w:tabs>
                <w:tab w:val="left" w:pos="5400"/>
              </w:tabs>
              <w:rPr>
                <w:sz w:val="18"/>
                <w:szCs w:val="18"/>
              </w:rPr>
            </w:pPr>
            <w:r w:rsidRPr="00342D51">
              <w:rPr>
                <w:sz w:val="18"/>
                <w:szCs w:val="18"/>
              </w:rPr>
              <w:t>(</w:t>
            </w:r>
            <w:r w:rsidRPr="00342D51">
              <w:rPr>
                <w:i/>
                <w:sz w:val="18"/>
                <w:szCs w:val="18"/>
              </w:rPr>
              <w:t>d</w:t>
            </w:r>
            <w:r w:rsidRPr="00342D51">
              <w:rPr>
                <w:sz w:val="18"/>
                <w:szCs w:val="18"/>
              </w:rPr>
              <w:t xml:space="preserve">) </w:t>
            </w:r>
            <w:r w:rsidRPr="00342D51">
              <w:rPr>
                <w:bCs/>
                <w:i/>
                <w:sz w:val="18"/>
                <w:szCs w:val="18"/>
              </w:rPr>
              <w:t>Cohort study</w:t>
            </w:r>
            <w:r w:rsidRPr="00342D51">
              <w:rPr>
                <w:sz w:val="18"/>
                <w:szCs w:val="18"/>
              </w:rPr>
              <w:t>—If applicable, explain how loss to follow-up was addressed</w:t>
            </w:r>
          </w:p>
          <w:p w:rsidR="002E72E0" w:rsidRPr="00342D51" w:rsidRDefault="002E72E0" w:rsidP="002E72E0">
            <w:pPr>
              <w:tabs>
                <w:tab w:val="left" w:pos="5400"/>
              </w:tabs>
              <w:rPr>
                <w:sz w:val="18"/>
                <w:szCs w:val="18"/>
              </w:rPr>
            </w:pPr>
            <w:r w:rsidRPr="00342D51">
              <w:rPr>
                <w:bCs/>
                <w:i/>
                <w:sz w:val="18"/>
                <w:szCs w:val="18"/>
              </w:rPr>
              <w:t>Case-control study</w:t>
            </w:r>
            <w:r w:rsidRPr="00342D51">
              <w:rPr>
                <w:sz w:val="18"/>
                <w:szCs w:val="18"/>
              </w:rPr>
              <w:t>—If applicable, explain how matching of cases and controls was addressed</w:t>
            </w:r>
          </w:p>
          <w:p w:rsidR="002E72E0" w:rsidRPr="00342D51" w:rsidRDefault="002E72E0" w:rsidP="002E72E0">
            <w:pPr>
              <w:tabs>
                <w:tab w:val="left" w:pos="5400"/>
              </w:tabs>
              <w:rPr>
                <w:sz w:val="18"/>
                <w:szCs w:val="18"/>
              </w:rPr>
            </w:pPr>
            <w:r w:rsidRPr="00342D51">
              <w:rPr>
                <w:bCs/>
                <w:i/>
                <w:sz w:val="18"/>
                <w:szCs w:val="18"/>
              </w:rPr>
              <w:t>Cross-sectional study</w:t>
            </w:r>
            <w:r w:rsidRPr="00342D51">
              <w:rPr>
                <w:sz w:val="18"/>
                <w:szCs w:val="18"/>
              </w:rPr>
              <w:t>—If applicable, describe analytical methods taking account of sampling strategy</w:t>
            </w:r>
          </w:p>
        </w:tc>
        <w:tc>
          <w:tcPr>
            <w:tcW w:w="1336" w:type="dxa"/>
          </w:tcPr>
          <w:p w:rsidR="002E72E0" w:rsidRPr="00342D51" w:rsidRDefault="002E72E0" w:rsidP="002E72E0">
            <w:pPr>
              <w:rPr>
                <w:sz w:val="18"/>
                <w:szCs w:val="18"/>
              </w:rPr>
            </w:pPr>
            <w:r w:rsidRPr="00342D51">
              <w:rPr>
                <w:sz w:val="18"/>
                <w:szCs w:val="18"/>
              </w:rPr>
              <w:t>Methods—Outcomes of the study; Results; Figure 1</w:t>
            </w:r>
          </w:p>
        </w:tc>
        <w:tc>
          <w:tcPr>
            <w:tcW w:w="3112" w:type="dxa"/>
            <w:vAlign w:val="center"/>
          </w:tcPr>
          <w:p w:rsidR="00934427" w:rsidRPr="00342D51" w:rsidRDefault="00000000">
            <w:pPr>
              <w:rPr>
                <w:sz w:val="18"/>
                <w:szCs w:val="18"/>
              </w:rPr>
            </w:pPr>
            <w:r w:rsidRPr="00342D51">
              <w:rPr>
                <w:sz w:val="18"/>
                <w:szCs w:val="18"/>
              </w:rPr>
              <w:t xml:space="preserve">Thirty-day vital status was available for all 1,529 analysed participants. All 1,014 patients alive at day 30 were administratively censored on day 30 after ICU admission, corresponding to </w:t>
            </w:r>
            <w:r w:rsidRPr="00342D51">
              <w:rPr>
                <w:sz w:val="18"/>
                <w:szCs w:val="18"/>
              </w:rPr>
              <w:lastRenderedPageBreak/>
              <w:t>landmark day 28. No patient was censored before day 30 or lost to follow-up.</w:t>
            </w:r>
          </w:p>
        </w:tc>
      </w:tr>
      <w:tr w:rsidR="002E72E0" w:rsidRPr="00342D51" w:rsidTr="006B7F5F">
        <w:tc>
          <w:tcPr>
            <w:tcW w:w="1519" w:type="dxa"/>
            <w:vMerge/>
          </w:tcPr>
          <w:p w:rsidR="002E72E0" w:rsidRPr="00342D51" w:rsidRDefault="002E72E0" w:rsidP="002E72E0">
            <w:pPr>
              <w:tabs>
                <w:tab w:val="left" w:pos="5400"/>
              </w:tabs>
              <w:rPr>
                <w:bCs/>
                <w:sz w:val="18"/>
                <w:szCs w:val="18"/>
              </w:rPr>
            </w:pPr>
            <w:bookmarkStart w:id="52" w:name="bold27" w:colFirst="0" w:colLast="0"/>
            <w:bookmarkStart w:id="53" w:name="italic29" w:colFirst="0" w:colLast="0"/>
            <w:bookmarkEnd w:id="50"/>
            <w:bookmarkEnd w:id="51"/>
          </w:p>
        </w:tc>
        <w:tc>
          <w:tcPr>
            <w:tcW w:w="747" w:type="dxa"/>
            <w:vMerge/>
          </w:tcPr>
          <w:p w:rsidR="002E72E0" w:rsidRPr="00342D51" w:rsidRDefault="002E72E0" w:rsidP="002E72E0">
            <w:pPr>
              <w:tabs>
                <w:tab w:val="left" w:pos="5400"/>
              </w:tabs>
              <w:jc w:val="center"/>
              <w:rPr>
                <w:sz w:val="18"/>
                <w:szCs w:val="18"/>
              </w:rPr>
            </w:pPr>
          </w:p>
        </w:tc>
        <w:tc>
          <w:tcPr>
            <w:tcW w:w="8278" w:type="dxa"/>
            <w:vAlign w:val="center"/>
          </w:tcPr>
          <w:p w:rsidR="002E72E0" w:rsidRPr="00342D51" w:rsidRDefault="002E72E0" w:rsidP="002E72E0">
            <w:pPr>
              <w:tabs>
                <w:tab w:val="left" w:pos="5400"/>
              </w:tabs>
              <w:rPr>
                <w:sz w:val="18"/>
                <w:szCs w:val="18"/>
              </w:rPr>
            </w:pPr>
            <w:r w:rsidRPr="00342D51">
              <w:rPr>
                <w:sz w:val="18"/>
                <w:szCs w:val="18"/>
              </w:rPr>
              <w:t>(</w:t>
            </w:r>
            <w:r w:rsidRPr="00342D51">
              <w:rPr>
                <w:i/>
                <w:sz w:val="18"/>
                <w:szCs w:val="18"/>
                <w:u w:val="single"/>
              </w:rPr>
              <w:t>e</w:t>
            </w:r>
            <w:r w:rsidRPr="00342D51">
              <w:rPr>
                <w:sz w:val="18"/>
                <w:szCs w:val="18"/>
              </w:rPr>
              <w:t>) Describe any sensitivity analyses</w:t>
            </w:r>
          </w:p>
        </w:tc>
        <w:tc>
          <w:tcPr>
            <w:tcW w:w="1336" w:type="dxa"/>
          </w:tcPr>
          <w:p w:rsidR="002E72E0" w:rsidRPr="00342D51" w:rsidRDefault="002E72E0" w:rsidP="002E72E0">
            <w:pPr>
              <w:rPr>
                <w:sz w:val="18"/>
                <w:szCs w:val="18"/>
              </w:rPr>
            </w:pPr>
            <w:r w:rsidRPr="00342D51">
              <w:rPr>
                <w:rFonts w:eastAsia="Arial"/>
                <w:sz w:val="18"/>
                <w:szCs w:val="18"/>
              </w:rPr>
              <w:t>Methods—Statistical Analysis; Results</w:t>
            </w:r>
          </w:p>
        </w:tc>
        <w:tc>
          <w:tcPr>
            <w:tcW w:w="3112" w:type="dxa"/>
            <w:vAlign w:val="center"/>
          </w:tcPr>
          <w:p w:rsidR="002E72E0" w:rsidRPr="00342D51" w:rsidRDefault="009F17F4" w:rsidP="002E72E0">
            <w:pPr>
              <w:rPr>
                <w:sz w:val="18"/>
                <w:szCs w:val="18"/>
              </w:rPr>
            </w:pPr>
            <w:r w:rsidRPr="00342D51">
              <w:rPr>
                <w:sz w:val="18"/>
                <w:szCs w:val="18"/>
              </w:rPr>
              <w:t>Sensitivity analyses included centre-clustered robust Cox models, mixed-effects Cox models with ICU centre as a random effect/shared-frailty term, CFS/CCI models fitted separately and together, a clinically categorised CFS model, and a simple calculation including patients excluded by the 48-hour criterion. The locally recorded APACHE II mortality comparison was retained separately as a secondary descriptive agreement analysis. All conventional, centre-clustered robust and mixed-effects Cox models were also refitted using the Efron method for tied event times, with substantively unchanged conclusions.</w:t>
            </w:r>
          </w:p>
        </w:tc>
      </w:tr>
      <w:bookmarkEnd w:id="52"/>
      <w:bookmarkEnd w:id="53"/>
      <w:tr w:rsidR="00191A23" w:rsidRPr="00342D51" w:rsidTr="00191A23">
        <w:tc>
          <w:tcPr>
            <w:tcW w:w="14992" w:type="dxa"/>
            <w:gridSpan w:val="5"/>
            <w:vAlign w:val="center"/>
          </w:tcPr>
          <w:p w:rsidR="00191A23" w:rsidRPr="00342D51" w:rsidRDefault="00191A23" w:rsidP="00191A23">
            <w:pPr>
              <w:pStyle w:val="TableSubHead"/>
              <w:tabs>
                <w:tab w:val="left" w:pos="5400"/>
              </w:tabs>
              <w:spacing w:before="0"/>
              <w:rPr>
                <w:sz w:val="18"/>
                <w:szCs w:val="18"/>
              </w:rPr>
            </w:pPr>
            <w:r w:rsidRPr="00342D51">
              <w:rPr>
                <w:sz w:val="18"/>
                <w:szCs w:val="18"/>
              </w:rPr>
              <w:t>Results</w:t>
            </w:r>
          </w:p>
        </w:tc>
      </w:tr>
      <w:tr w:rsidR="002E72E0" w:rsidRPr="00342D51" w:rsidTr="005F6E9A">
        <w:tc>
          <w:tcPr>
            <w:tcW w:w="0" w:type="auto"/>
            <w:vMerge w:val="restart"/>
            <w:vAlign w:val="center"/>
          </w:tcPr>
          <w:p w:rsidR="002E72E0" w:rsidRPr="00342D51" w:rsidRDefault="002E72E0" w:rsidP="002E72E0">
            <w:pPr>
              <w:tabs>
                <w:tab w:val="left" w:pos="5400"/>
              </w:tabs>
              <w:rPr>
                <w:bCs/>
                <w:sz w:val="18"/>
                <w:szCs w:val="18"/>
              </w:rPr>
            </w:pPr>
            <w:bookmarkStart w:id="54" w:name="bold29"/>
            <w:bookmarkStart w:id="55" w:name="italic31"/>
            <w:r w:rsidRPr="00342D51">
              <w:rPr>
                <w:bCs/>
                <w:sz w:val="18"/>
                <w:szCs w:val="18"/>
              </w:rPr>
              <w:t>Participants</w:t>
            </w:r>
            <w:bookmarkEnd w:id="54"/>
            <w:bookmarkEnd w:id="55"/>
          </w:p>
        </w:tc>
        <w:tc>
          <w:tcPr>
            <w:tcW w:w="0" w:type="auto"/>
            <w:vMerge w:val="restart"/>
            <w:vAlign w:val="center"/>
          </w:tcPr>
          <w:p w:rsidR="002E72E0" w:rsidRPr="00342D51" w:rsidRDefault="002E72E0" w:rsidP="002E72E0">
            <w:pPr>
              <w:tabs>
                <w:tab w:val="left" w:pos="5400"/>
              </w:tabs>
              <w:jc w:val="center"/>
              <w:rPr>
                <w:sz w:val="18"/>
                <w:szCs w:val="18"/>
              </w:rPr>
            </w:pPr>
            <w:r w:rsidRPr="00342D51">
              <w:rPr>
                <w:sz w:val="18"/>
                <w:szCs w:val="18"/>
              </w:rPr>
              <w:t>13</w:t>
            </w:r>
            <w:bookmarkStart w:id="56" w:name="bold30"/>
            <w:r w:rsidRPr="00342D51">
              <w:rPr>
                <w:bCs/>
                <w:sz w:val="18"/>
                <w:szCs w:val="18"/>
              </w:rPr>
              <w:t>*</w:t>
            </w:r>
            <w:bookmarkEnd w:id="56"/>
          </w:p>
        </w:tc>
        <w:tc>
          <w:tcPr>
            <w:tcW w:w="8278" w:type="dxa"/>
            <w:vAlign w:val="center"/>
          </w:tcPr>
          <w:p w:rsidR="002E72E0" w:rsidRPr="00342D51" w:rsidRDefault="002E72E0" w:rsidP="002E72E0">
            <w:pPr>
              <w:tabs>
                <w:tab w:val="left" w:pos="5400"/>
              </w:tabs>
              <w:rPr>
                <w:sz w:val="18"/>
                <w:szCs w:val="18"/>
              </w:rPr>
            </w:pPr>
            <w:r w:rsidRPr="00342D51">
              <w:rPr>
                <w:sz w:val="18"/>
                <w:szCs w:val="18"/>
              </w:rPr>
              <w:t>(a) Report numbers of individuals at each stage of study—eg numbers potentially eligible, examined for eligibility, confirmed eligible, included in the study, completing follow-up, and analysed</w:t>
            </w:r>
          </w:p>
        </w:tc>
        <w:tc>
          <w:tcPr>
            <w:tcW w:w="1336" w:type="dxa"/>
          </w:tcPr>
          <w:p w:rsidR="002E72E0" w:rsidRPr="00342D51" w:rsidRDefault="002E72E0" w:rsidP="002E72E0">
            <w:pPr>
              <w:rPr>
                <w:sz w:val="18"/>
                <w:szCs w:val="18"/>
              </w:rPr>
            </w:pPr>
            <w:r w:rsidRPr="00342D51">
              <w:rPr>
                <w:sz w:val="18"/>
                <w:szCs w:val="18"/>
              </w:rPr>
              <w:t>Results—Baseline Characteristics; Figure 1</w:t>
            </w:r>
          </w:p>
        </w:tc>
        <w:tc>
          <w:tcPr>
            <w:tcW w:w="3112" w:type="dxa"/>
            <w:vAlign w:val="center"/>
          </w:tcPr>
          <w:p w:rsidR="00934427" w:rsidRPr="00342D51" w:rsidRDefault="00000000">
            <w:pPr>
              <w:rPr>
                <w:sz w:val="18"/>
                <w:szCs w:val="18"/>
              </w:rPr>
            </w:pPr>
            <w:r w:rsidRPr="00342D51">
              <w:rPr>
                <w:sz w:val="18"/>
                <w:szCs w:val="18"/>
              </w:rPr>
              <w:t xml:space="preserve">The flow diagram reports 1,632 screened patients and 1,529 analysed patients after exclusions. Thirty-day vital status was complete: 515 deaths occurred and all 1,014 survivors completed ascertainment and were administratively censored at day 30 (landmark day 28), with no earlier censoring or loss to follow-up. The diagram also reports zero exclusions for incomplete or unavailable clinical data </w:t>
            </w:r>
            <w:r w:rsidRPr="00342D51">
              <w:rPr>
                <w:sz w:val="18"/>
                <w:szCs w:val="18"/>
              </w:rPr>
              <w:lastRenderedPageBreak/>
              <w:t>and zero exclusions for inability to assess pre-ICU functional status.</w:t>
            </w:r>
          </w:p>
        </w:tc>
      </w:tr>
      <w:tr w:rsidR="002E72E0" w:rsidRPr="00342D51" w:rsidTr="002E72E0">
        <w:tc>
          <w:tcPr>
            <w:tcW w:w="0" w:type="auto"/>
            <w:vMerge/>
          </w:tcPr>
          <w:p w:rsidR="002E72E0" w:rsidRPr="00342D51" w:rsidRDefault="002E72E0" w:rsidP="002E72E0">
            <w:pPr>
              <w:tabs>
                <w:tab w:val="left" w:pos="5400"/>
              </w:tabs>
              <w:rPr>
                <w:bCs/>
                <w:sz w:val="18"/>
                <w:szCs w:val="18"/>
              </w:rPr>
            </w:pPr>
            <w:bookmarkStart w:id="57" w:name="bold31" w:colFirst="0" w:colLast="0"/>
            <w:bookmarkStart w:id="58" w:name="italic32" w:colFirst="0" w:colLast="0"/>
          </w:p>
        </w:tc>
        <w:tc>
          <w:tcPr>
            <w:tcW w:w="0" w:type="auto"/>
            <w:vMerge/>
          </w:tcPr>
          <w:p w:rsidR="002E72E0" w:rsidRPr="00342D51" w:rsidRDefault="002E72E0" w:rsidP="002E72E0">
            <w:pPr>
              <w:tabs>
                <w:tab w:val="left" w:pos="5400"/>
              </w:tabs>
              <w:jc w:val="center"/>
              <w:rPr>
                <w:sz w:val="18"/>
                <w:szCs w:val="18"/>
              </w:rPr>
            </w:pPr>
          </w:p>
        </w:tc>
        <w:tc>
          <w:tcPr>
            <w:tcW w:w="8278" w:type="dxa"/>
            <w:vAlign w:val="center"/>
          </w:tcPr>
          <w:p w:rsidR="002E72E0" w:rsidRPr="00342D51" w:rsidRDefault="002E72E0" w:rsidP="002E72E0">
            <w:pPr>
              <w:tabs>
                <w:tab w:val="left" w:pos="5400"/>
              </w:tabs>
              <w:rPr>
                <w:sz w:val="18"/>
                <w:szCs w:val="18"/>
              </w:rPr>
            </w:pPr>
            <w:r w:rsidRPr="00342D51">
              <w:rPr>
                <w:sz w:val="18"/>
                <w:szCs w:val="18"/>
              </w:rPr>
              <w:t>(b) Give reasons for non-participation at each stage</w:t>
            </w:r>
          </w:p>
        </w:tc>
        <w:tc>
          <w:tcPr>
            <w:tcW w:w="1336" w:type="dxa"/>
          </w:tcPr>
          <w:p w:rsidR="002E72E0" w:rsidRPr="00342D51" w:rsidRDefault="002E72E0" w:rsidP="002E72E0">
            <w:pPr>
              <w:rPr>
                <w:sz w:val="18"/>
                <w:szCs w:val="18"/>
              </w:rPr>
            </w:pPr>
            <w:r w:rsidRPr="00342D51">
              <w:rPr>
                <w:sz w:val="18"/>
                <w:szCs w:val="18"/>
              </w:rPr>
              <w:t>Figure 1; Results</w:t>
            </w:r>
          </w:p>
        </w:tc>
        <w:tc>
          <w:tcPr>
            <w:tcW w:w="3112" w:type="dxa"/>
            <w:vAlign w:val="center"/>
          </w:tcPr>
          <w:p w:rsidR="00934427" w:rsidRPr="00342D51" w:rsidRDefault="00000000">
            <w:pPr>
              <w:rPr>
                <w:sz w:val="18"/>
                <w:szCs w:val="18"/>
              </w:rPr>
            </w:pPr>
            <w:r w:rsidRPr="00342D51">
              <w:rPr>
                <w:sz w:val="18"/>
                <w:szCs w:val="18"/>
              </w:rPr>
              <w:t>Reasons for exclusion are reported: ICU length of stay &lt;48 hours (n=90; 22 deaths and 68 discharged alive), transfer to another ICU (n=1), transfer from another ICU (n=1), and tracheostomy at ICU admission (n=11). Prespecified but unrealised exclusions are also shown: incomplete or unavailable clinical data (n=0) and inability to assess pre-ICU functional status (n=0).</w:t>
            </w:r>
          </w:p>
        </w:tc>
      </w:tr>
      <w:tr w:rsidR="00191A23" w:rsidRPr="00342D51" w:rsidTr="002E72E0">
        <w:tc>
          <w:tcPr>
            <w:tcW w:w="0" w:type="auto"/>
            <w:vMerge/>
          </w:tcPr>
          <w:p w:rsidR="00191A23" w:rsidRPr="00342D51" w:rsidRDefault="00191A23" w:rsidP="00191A23">
            <w:pPr>
              <w:tabs>
                <w:tab w:val="left" w:pos="5400"/>
              </w:tabs>
              <w:rPr>
                <w:bCs/>
                <w:sz w:val="18"/>
                <w:szCs w:val="18"/>
              </w:rPr>
            </w:pPr>
            <w:bookmarkStart w:id="59" w:name="bold32" w:colFirst="0" w:colLast="0"/>
            <w:bookmarkStart w:id="60" w:name="italic33" w:colFirst="0" w:colLast="0"/>
            <w:bookmarkEnd w:id="57"/>
            <w:bookmarkEnd w:id="58"/>
          </w:p>
        </w:tc>
        <w:tc>
          <w:tcPr>
            <w:tcW w:w="0" w:type="auto"/>
            <w:vMerge/>
          </w:tcPr>
          <w:p w:rsidR="00191A23" w:rsidRPr="00342D51" w:rsidRDefault="00191A23" w:rsidP="00191A23">
            <w:pPr>
              <w:tabs>
                <w:tab w:val="left" w:pos="5400"/>
              </w:tabs>
              <w:jc w:val="center"/>
              <w:rPr>
                <w:sz w:val="18"/>
                <w:szCs w:val="18"/>
              </w:rPr>
            </w:pPr>
          </w:p>
        </w:tc>
        <w:tc>
          <w:tcPr>
            <w:tcW w:w="8278" w:type="dxa"/>
            <w:vAlign w:val="center"/>
          </w:tcPr>
          <w:p w:rsidR="00191A23" w:rsidRPr="00342D51" w:rsidRDefault="00191A23" w:rsidP="00191A23">
            <w:pPr>
              <w:tabs>
                <w:tab w:val="left" w:pos="5400"/>
              </w:tabs>
              <w:rPr>
                <w:sz w:val="18"/>
                <w:szCs w:val="18"/>
              </w:rPr>
            </w:pPr>
            <w:bookmarkStart w:id="61" w:name="OLE_LINK4"/>
            <w:r w:rsidRPr="00342D51">
              <w:rPr>
                <w:sz w:val="18"/>
                <w:szCs w:val="18"/>
              </w:rPr>
              <w:t>(c) Consider use of a flow diagram</w:t>
            </w:r>
            <w:bookmarkEnd w:id="61"/>
          </w:p>
        </w:tc>
        <w:tc>
          <w:tcPr>
            <w:tcW w:w="1336" w:type="dxa"/>
            <w:vAlign w:val="center"/>
          </w:tcPr>
          <w:p w:rsidR="006C70F1" w:rsidRPr="00342D51" w:rsidRDefault="00000000">
            <w:pPr>
              <w:rPr>
                <w:sz w:val="18"/>
                <w:szCs w:val="18"/>
              </w:rPr>
            </w:pPr>
            <w:r w:rsidRPr="00342D51">
              <w:rPr>
                <w:sz w:val="18"/>
                <w:szCs w:val="18"/>
              </w:rPr>
              <w:t>Figure 1</w:t>
            </w:r>
          </w:p>
        </w:tc>
        <w:tc>
          <w:tcPr>
            <w:tcW w:w="3112" w:type="dxa"/>
            <w:vAlign w:val="center"/>
          </w:tcPr>
          <w:p w:rsidR="00993FB7" w:rsidRPr="00342D51" w:rsidRDefault="00000000">
            <w:pPr>
              <w:rPr>
                <w:sz w:val="18"/>
                <w:szCs w:val="18"/>
              </w:rPr>
            </w:pPr>
            <w:r w:rsidRPr="00342D51">
              <w:rPr>
                <w:rFonts w:eastAsia="Arial"/>
                <w:sz w:val="18"/>
                <w:szCs w:val="18"/>
              </w:rPr>
              <w:t>A cohort assembly flow diagram is provided.</w:t>
            </w:r>
          </w:p>
        </w:tc>
      </w:tr>
      <w:tr w:rsidR="002E72E0" w:rsidRPr="00342D51" w:rsidTr="002E72E0">
        <w:tc>
          <w:tcPr>
            <w:tcW w:w="0" w:type="auto"/>
            <w:vMerge w:val="restart"/>
            <w:vAlign w:val="center"/>
          </w:tcPr>
          <w:p w:rsidR="002E72E0" w:rsidRPr="00342D51" w:rsidRDefault="002E72E0" w:rsidP="002E72E0">
            <w:pPr>
              <w:tabs>
                <w:tab w:val="left" w:pos="5400"/>
              </w:tabs>
              <w:rPr>
                <w:bCs/>
                <w:sz w:val="18"/>
                <w:szCs w:val="18"/>
              </w:rPr>
            </w:pPr>
            <w:bookmarkStart w:id="62" w:name="bold33"/>
            <w:bookmarkStart w:id="63" w:name="italic34"/>
            <w:bookmarkEnd w:id="59"/>
            <w:bookmarkEnd w:id="60"/>
            <w:r w:rsidRPr="00342D51">
              <w:rPr>
                <w:bCs/>
                <w:sz w:val="18"/>
                <w:szCs w:val="18"/>
              </w:rPr>
              <w:t xml:space="preserve">Descriptive </w:t>
            </w:r>
            <w:bookmarkStart w:id="64" w:name="bold34"/>
            <w:bookmarkStart w:id="65" w:name="italic35"/>
            <w:bookmarkEnd w:id="62"/>
            <w:bookmarkEnd w:id="63"/>
            <w:r w:rsidRPr="00342D51">
              <w:rPr>
                <w:bCs/>
                <w:sz w:val="18"/>
                <w:szCs w:val="18"/>
              </w:rPr>
              <w:t>data</w:t>
            </w:r>
            <w:bookmarkEnd w:id="64"/>
            <w:bookmarkEnd w:id="65"/>
          </w:p>
        </w:tc>
        <w:tc>
          <w:tcPr>
            <w:tcW w:w="0" w:type="auto"/>
            <w:vMerge w:val="restart"/>
            <w:vAlign w:val="center"/>
          </w:tcPr>
          <w:p w:rsidR="002E72E0" w:rsidRPr="00342D51" w:rsidRDefault="002E72E0" w:rsidP="002E72E0">
            <w:pPr>
              <w:tabs>
                <w:tab w:val="left" w:pos="5400"/>
              </w:tabs>
              <w:jc w:val="center"/>
              <w:rPr>
                <w:sz w:val="18"/>
                <w:szCs w:val="18"/>
              </w:rPr>
            </w:pPr>
            <w:r w:rsidRPr="00342D51">
              <w:rPr>
                <w:sz w:val="18"/>
                <w:szCs w:val="18"/>
              </w:rPr>
              <w:t>14</w:t>
            </w:r>
            <w:bookmarkStart w:id="66" w:name="bold35"/>
            <w:r w:rsidRPr="00342D51">
              <w:rPr>
                <w:bCs/>
                <w:sz w:val="18"/>
                <w:szCs w:val="18"/>
              </w:rPr>
              <w:t>*</w:t>
            </w:r>
            <w:bookmarkEnd w:id="66"/>
          </w:p>
        </w:tc>
        <w:tc>
          <w:tcPr>
            <w:tcW w:w="8278" w:type="dxa"/>
            <w:vAlign w:val="center"/>
          </w:tcPr>
          <w:p w:rsidR="002E72E0" w:rsidRPr="00342D51" w:rsidRDefault="002E72E0" w:rsidP="002E72E0">
            <w:pPr>
              <w:tabs>
                <w:tab w:val="left" w:pos="5400"/>
              </w:tabs>
              <w:rPr>
                <w:sz w:val="18"/>
                <w:szCs w:val="18"/>
              </w:rPr>
            </w:pPr>
            <w:r w:rsidRPr="00342D51">
              <w:rPr>
                <w:sz w:val="18"/>
                <w:szCs w:val="18"/>
              </w:rPr>
              <w:t>(a) Give characteristics of study participants (eg demographic, clinical, social) and information on exposures and potential confounders</w:t>
            </w:r>
          </w:p>
        </w:tc>
        <w:tc>
          <w:tcPr>
            <w:tcW w:w="1336" w:type="dxa"/>
          </w:tcPr>
          <w:p w:rsidR="002E72E0" w:rsidRPr="00342D51" w:rsidRDefault="002E72E0" w:rsidP="002E72E0">
            <w:pPr>
              <w:rPr>
                <w:sz w:val="18"/>
                <w:szCs w:val="18"/>
              </w:rPr>
            </w:pPr>
            <w:r w:rsidRPr="00342D51">
              <w:rPr>
                <w:rFonts w:eastAsia="Arial"/>
                <w:sz w:val="18"/>
                <w:szCs w:val="18"/>
              </w:rPr>
              <w:t>Results—Baseline Characteristics; Tables 1–3; Supplementary Tables S2–S4</w:t>
            </w:r>
          </w:p>
        </w:tc>
        <w:tc>
          <w:tcPr>
            <w:tcW w:w="3112" w:type="dxa"/>
            <w:vAlign w:val="center"/>
          </w:tcPr>
          <w:p w:rsidR="002E72E0" w:rsidRPr="00342D51" w:rsidRDefault="002E72E0" w:rsidP="002E72E0">
            <w:pPr>
              <w:rPr>
                <w:sz w:val="18"/>
                <w:szCs w:val="18"/>
              </w:rPr>
            </w:pPr>
            <w:r w:rsidRPr="00342D51">
              <w:rPr>
                <w:rFonts w:eastAsia="Arial"/>
                <w:sz w:val="18"/>
                <w:szCs w:val="18"/>
              </w:rPr>
              <w:t>Baseline demographics, comorbidities, frailty/functional/nutritional measures, severity scores, organ support and complications are reported.</w:t>
            </w:r>
          </w:p>
        </w:tc>
      </w:tr>
      <w:tr w:rsidR="002E72E0" w:rsidRPr="00342D51" w:rsidTr="002E72E0">
        <w:tc>
          <w:tcPr>
            <w:tcW w:w="0" w:type="auto"/>
            <w:vMerge/>
          </w:tcPr>
          <w:p w:rsidR="002E72E0" w:rsidRPr="00342D51" w:rsidRDefault="002E72E0" w:rsidP="002E72E0">
            <w:pPr>
              <w:tabs>
                <w:tab w:val="left" w:pos="5400"/>
              </w:tabs>
              <w:rPr>
                <w:bCs/>
                <w:sz w:val="18"/>
                <w:szCs w:val="18"/>
              </w:rPr>
            </w:pPr>
            <w:bookmarkStart w:id="67" w:name="bold36" w:colFirst="0" w:colLast="0"/>
            <w:bookmarkStart w:id="68" w:name="italic36" w:colFirst="0" w:colLast="0"/>
          </w:p>
        </w:tc>
        <w:tc>
          <w:tcPr>
            <w:tcW w:w="0" w:type="auto"/>
            <w:vMerge/>
          </w:tcPr>
          <w:p w:rsidR="002E72E0" w:rsidRPr="00342D51" w:rsidRDefault="002E72E0" w:rsidP="002E72E0">
            <w:pPr>
              <w:tabs>
                <w:tab w:val="left" w:pos="5400"/>
              </w:tabs>
              <w:jc w:val="center"/>
              <w:rPr>
                <w:sz w:val="18"/>
                <w:szCs w:val="18"/>
              </w:rPr>
            </w:pPr>
          </w:p>
        </w:tc>
        <w:tc>
          <w:tcPr>
            <w:tcW w:w="8278" w:type="dxa"/>
            <w:vAlign w:val="center"/>
          </w:tcPr>
          <w:p w:rsidR="002E72E0" w:rsidRPr="00342D51" w:rsidRDefault="002E72E0" w:rsidP="002E72E0">
            <w:pPr>
              <w:tabs>
                <w:tab w:val="left" w:pos="5400"/>
              </w:tabs>
              <w:rPr>
                <w:sz w:val="18"/>
                <w:szCs w:val="18"/>
              </w:rPr>
            </w:pPr>
            <w:r w:rsidRPr="00342D51">
              <w:rPr>
                <w:sz w:val="18"/>
                <w:szCs w:val="18"/>
              </w:rPr>
              <w:t>(b) Indicate number of participants with missing data for each variable of interest</w:t>
            </w:r>
          </w:p>
        </w:tc>
        <w:tc>
          <w:tcPr>
            <w:tcW w:w="1336" w:type="dxa"/>
          </w:tcPr>
          <w:p w:rsidR="002E72E0" w:rsidRPr="00342D51" w:rsidRDefault="002E72E0" w:rsidP="002E72E0">
            <w:pPr>
              <w:rPr>
                <w:sz w:val="18"/>
                <w:szCs w:val="18"/>
              </w:rPr>
            </w:pPr>
            <w:r w:rsidRPr="00342D51">
              <w:rPr>
                <w:rFonts w:eastAsia="Arial"/>
                <w:sz w:val="18"/>
                <w:szCs w:val="18"/>
              </w:rPr>
              <w:t>Results—Factors Associated with 30-Day Mortality</w:t>
            </w:r>
          </w:p>
        </w:tc>
        <w:tc>
          <w:tcPr>
            <w:tcW w:w="3112" w:type="dxa"/>
            <w:vAlign w:val="center"/>
          </w:tcPr>
          <w:p w:rsidR="002E72E0" w:rsidRPr="00342D51" w:rsidRDefault="002E72E0" w:rsidP="002E72E0">
            <w:pPr>
              <w:rPr>
                <w:sz w:val="18"/>
                <w:szCs w:val="18"/>
              </w:rPr>
            </w:pPr>
            <w:r w:rsidRPr="00342D51">
              <w:rPr>
                <w:rFonts w:eastAsia="Arial"/>
                <w:sz w:val="18"/>
                <w:szCs w:val="18"/>
              </w:rPr>
              <w:t>No missing data for key variables used in primary analyses among 1,529 analysed patients; no imputation was performed.</w:t>
            </w:r>
          </w:p>
        </w:tc>
      </w:tr>
      <w:tr w:rsidR="002E72E0" w:rsidRPr="00342D51" w:rsidTr="002E72E0">
        <w:tc>
          <w:tcPr>
            <w:tcW w:w="0" w:type="auto"/>
            <w:vMerge/>
          </w:tcPr>
          <w:p w:rsidR="002E72E0" w:rsidRPr="00342D51" w:rsidRDefault="002E72E0" w:rsidP="002E72E0">
            <w:pPr>
              <w:tabs>
                <w:tab w:val="left" w:pos="5400"/>
              </w:tabs>
              <w:rPr>
                <w:bCs/>
                <w:sz w:val="18"/>
                <w:szCs w:val="18"/>
              </w:rPr>
            </w:pPr>
            <w:bookmarkStart w:id="69" w:name="bold37" w:colFirst="0" w:colLast="0"/>
            <w:bookmarkStart w:id="70" w:name="italic37" w:colFirst="0" w:colLast="0"/>
            <w:bookmarkEnd w:id="67"/>
            <w:bookmarkEnd w:id="68"/>
          </w:p>
        </w:tc>
        <w:tc>
          <w:tcPr>
            <w:tcW w:w="0" w:type="auto"/>
            <w:vMerge/>
          </w:tcPr>
          <w:p w:rsidR="002E72E0" w:rsidRPr="00342D51" w:rsidRDefault="002E72E0" w:rsidP="002E72E0">
            <w:pPr>
              <w:tabs>
                <w:tab w:val="left" w:pos="5400"/>
              </w:tabs>
              <w:jc w:val="center"/>
              <w:rPr>
                <w:sz w:val="18"/>
                <w:szCs w:val="18"/>
              </w:rPr>
            </w:pPr>
          </w:p>
        </w:tc>
        <w:tc>
          <w:tcPr>
            <w:tcW w:w="8278" w:type="dxa"/>
            <w:vAlign w:val="center"/>
          </w:tcPr>
          <w:p w:rsidR="002E72E0" w:rsidRPr="00342D51" w:rsidRDefault="002E72E0" w:rsidP="002E72E0">
            <w:pPr>
              <w:tabs>
                <w:tab w:val="left" w:pos="5400"/>
              </w:tabs>
              <w:rPr>
                <w:sz w:val="18"/>
                <w:szCs w:val="18"/>
              </w:rPr>
            </w:pPr>
            <w:r w:rsidRPr="00342D51">
              <w:rPr>
                <w:sz w:val="18"/>
                <w:szCs w:val="18"/>
              </w:rPr>
              <w:t xml:space="preserve">(c) </w:t>
            </w:r>
            <w:r w:rsidRPr="00342D51">
              <w:rPr>
                <w:i/>
                <w:sz w:val="18"/>
                <w:szCs w:val="18"/>
              </w:rPr>
              <w:t>Cohort study</w:t>
            </w:r>
            <w:r w:rsidRPr="00342D51">
              <w:rPr>
                <w:sz w:val="18"/>
                <w:szCs w:val="18"/>
              </w:rPr>
              <w:t>—Summarise follow-up time (eg, average and total amount)</w:t>
            </w:r>
          </w:p>
        </w:tc>
        <w:tc>
          <w:tcPr>
            <w:tcW w:w="1336" w:type="dxa"/>
          </w:tcPr>
          <w:p w:rsidR="002E72E0" w:rsidRPr="00342D51" w:rsidRDefault="002E72E0" w:rsidP="002E72E0">
            <w:pPr>
              <w:rPr>
                <w:sz w:val="18"/>
                <w:szCs w:val="18"/>
              </w:rPr>
            </w:pPr>
            <w:r w:rsidRPr="00342D51">
              <w:rPr>
                <w:rFonts w:eastAsia="Arial"/>
                <w:sz w:val="18"/>
                <w:szCs w:val="18"/>
              </w:rPr>
              <w:t>Methods—Outcomes; Results</w:t>
            </w:r>
          </w:p>
        </w:tc>
        <w:tc>
          <w:tcPr>
            <w:tcW w:w="3112" w:type="dxa"/>
            <w:vAlign w:val="center"/>
          </w:tcPr>
          <w:p w:rsidR="00934427" w:rsidRPr="00342D51" w:rsidRDefault="00000000">
            <w:pPr>
              <w:rPr>
                <w:sz w:val="18"/>
                <w:szCs w:val="18"/>
              </w:rPr>
            </w:pPr>
            <w:r w:rsidRPr="00342D51">
              <w:rPr>
                <w:sz w:val="18"/>
                <w:szCs w:val="18"/>
              </w:rPr>
              <w:t xml:space="preserve">The outcome window was 30 days after ICU admission, corresponding to a maximum of 28 days after the 48-hour landmark. Thirty-day status was ascertained for every analysed patient; </w:t>
            </w:r>
            <w:r w:rsidRPr="00342D51">
              <w:rPr>
                <w:sz w:val="18"/>
                <w:szCs w:val="18"/>
              </w:rPr>
              <w:lastRenderedPageBreak/>
              <w:t>all 1,014 survivors were administratively censored at day 30 (landmark day 28), and there was no earlier censoring or loss to follow-up.</w:t>
            </w:r>
          </w:p>
        </w:tc>
      </w:tr>
      <w:tr w:rsidR="002E72E0" w:rsidRPr="00342D51" w:rsidTr="002E72E0">
        <w:trPr>
          <w:trHeight w:val="295"/>
        </w:trPr>
        <w:tc>
          <w:tcPr>
            <w:tcW w:w="0" w:type="auto"/>
            <w:vMerge w:val="restart"/>
            <w:vAlign w:val="center"/>
          </w:tcPr>
          <w:p w:rsidR="002E72E0" w:rsidRPr="00342D51" w:rsidRDefault="002E72E0" w:rsidP="002E72E0">
            <w:pPr>
              <w:tabs>
                <w:tab w:val="left" w:pos="5400"/>
              </w:tabs>
              <w:rPr>
                <w:bCs/>
                <w:sz w:val="18"/>
                <w:szCs w:val="18"/>
              </w:rPr>
            </w:pPr>
            <w:bookmarkStart w:id="71" w:name="bold38" w:colFirst="0" w:colLast="0"/>
            <w:bookmarkStart w:id="72" w:name="italic38" w:colFirst="0" w:colLast="0"/>
            <w:bookmarkEnd w:id="69"/>
            <w:bookmarkEnd w:id="70"/>
            <w:r w:rsidRPr="00342D51">
              <w:rPr>
                <w:bCs/>
                <w:sz w:val="18"/>
                <w:szCs w:val="18"/>
              </w:rPr>
              <w:lastRenderedPageBreak/>
              <w:t>Outcome data</w:t>
            </w:r>
          </w:p>
        </w:tc>
        <w:tc>
          <w:tcPr>
            <w:tcW w:w="0" w:type="auto"/>
            <w:vMerge w:val="restart"/>
            <w:vAlign w:val="center"/>
          </w:tcPr>
          <w:p w:rsidR="002E72E0" w:rsidRPr="00342D51" w:rsidRDefault="002E72E0" w:rsidP="002E72E0">
            <w:pPr>
              <w:tabs>
                <w:tab w:val="left" w:pos="5400"/>
              </w:tabs>
              <w:jc w:val="center"/>
              <w:rPr>
                <w:sz w:val="18"/>
                <w:szCs w:val="18"/>
              </w:rPr>
            </w:pPr>
            <w:r w:rsidRPr="00342D51">
              <w:rPr>
                <w:sz w:val="18"/>
                <w:szCs w:val="18"/>
              </w:rPr>
              <w:t>15</w:t>
            </w:r>
            <w:bookmarkStart w:id="73" w:name="bold39"/>
            <w:r w:rsidRPr="00342D51">
              <w:rPr>
                <w:bCs/>
                <w:sz w:val="18"/>
                <w:szCs w:val="18"/>
              </w:rPr>
              <w:t>*</w:t>
            </w:r>
            <w:bookmarkEnd w:id="73"/>
          </w:p>
        </w:tc>
        <w:tc>
          <w:tcPr>
            <w:tcW w:w="8278" w:type="dxa"/>
            <w:vAlign w:val="center"/>
          </w:tcPr>
          <w:p w:rsidR="002E72E0" w:rsidRPr="00342D51" w:rsidRDefault="002E72E0" w:rsidP="002E72E0">
            <w:pPr>
              <w:tabs>
                <w:tab w:val="left" w:pos="5400"/>
              </w:tabs>
              <w:rPr>
                <w:sz w:val="18"/>
                <w:szCs w:val="18"/>
              </w:rPr>
            </w:pPr>
            <w:r w:rsidRPr="00342D51">
              <w:rPr>
                <w:i/>
                <w:sz w:val="18"/>
                <w:szCs w:val="18"/>
              </w:rPr>
              <w:t>Cohort study</w:t>
            </w:r>
            <w:r w:rsidRPr="00342D51">
              <w:rPr>
                <w:sz w:val="18"/>
                <w:szCs w:val="18"/>
              </w:rPr>
              <w:t>—Report numbers of outcome events or summary measures over time</w:t>
            </w:r>
          </w:p>
        </w:tc>
        <w:tc>
          <w:tcPr>
            <w:tcW w:w="1336" w:type="dxa"/>
          </w:tcPr>
          <w:p w:rsidR="002E72E0" w:rsidRPr="00342D51" w:rsidRDefault="002E72E0" w:rsidP="002E72E0">
            <w:pPr>
              <w:rPr>
                <w:sz w:val="18"/>
                <w:szCs w:val="18"/>
              </w:rPr>
            </w:pPr>
            <w:r w:rsidRPr="00342D51">
              <w:rPr>
                <w:rFonts w:eastAsia="Arial"/>
                <w:sz w:val="18"/>
                <w:szCs w:val="18"/>
              </w:rPr>
              <w:t>Results—Factors Associated with 30-Day Mortality</w:t>
            </w:r>
          </w:p>
        </w:tc>
        <w:tc>
          <w:tcPr>
            <w:tcW w:w="3112" w:type="dxa"/>
            <w:vAlign w:val="center"/>
          </w:tcPr>
          <w:p w:rsidR="002E72E0" w:rsidRPr="00342D51" w:rsidRDefault="002E72E0" w:rsidP="002E72E0">
            <w:pPr>
              <w:rPr>
                <w:sz w:val="18"/>
                <w:szCs w:val="18"/>
              </w:rPr>
            </w:pPr>
            <w:r w:rsidRPr="00342D51">
              <w:rPr>
                <w:rFonts w:eastAsia="Arial"/>
                <w:sz w:val="18"/>
                <w:szCs w:val="18"/>
              </w:rPr>
              <w:t>Outcome events: 515 deaths among 1,529 analysed patients; 30-day all-cause mortality 33.7%.</w:t>
            </w:r>
          </w:p>
        </w:tc>
      </w:tr>
      <w:tr w:rsidR="00191A23" w:rsidRPr="00342D51" w:rsidTr="002E72E0">
        <w:trPr>
          <w:trHeight w:val="294"/>
        </w:trPr>
        <w:tc>
          <w:tcPr>
            <w:tcW w:w="0" w:type="auto"/>
            <w:vMerge/>
          </w:tcPr>
          <w:p w:rsidR="00191A23" w:rsidRPr="00342D51" w:rsidRDefault="00191A23" w:rsidP="00191A23">
            <w:pPr>
              <w:tabs>
                <w:tab w:val="left" w:pos="5400"/>
              </w:tabs>
              <w:rPr>
                <w:bCs/>
                <w:sz w:val="18"/>
                <w:szCs w:val="18"/>
              </w:rPr>
            </w:pPr>
          </w:p>
        </w:tc>
        <w:tc>
          <w:tcPr>
            <w:tcW w:w="0" w:type="auto"/>
            <w:vMerge/>
          </w:tcPr>
          <w:p w:rsidR="00191A23" w:rsidRPr="00342D51" w:rsidRDefault="00191A23" w:rsidP="00191A23">
            <w:pPr>
              <w:tabs>
                <w:tab w:val="left" w:pos="5400"/>
              </w:tabs>
              <w:jc w:val="center"/>
              <w:rPr>
                <w:sz w:val="18"/>
                <w:szCs w:val="18"/>
              </w:rPr>
            </w:pPr>
          </w:p>
        </w:tc>
        <w:tc>
          <w:tcPr>
            <w:tcW w:w="8278" w:type="dxa"/>
            <w:vAlign w:val="center"/>
          </w:tcPr>
          <w:p w:rsidR="00191A23" w:rsidRPr="00342D51" w:rsidRDefault="00191A23" w:rsidP="00191A23">
            <w:pPr>
              <w:tabs>
                <w:tab w:val="left" w:pos="5400"/>
              </w:tabs>
              <w:rPr>
                <w:i/>
                <w:sz w:val="18"/>
                <w:szCs w:val="18"/>
              </w:rPr>
            </w:pPr>
            <w:r w:rsidRPr="00342D51">
              <w:rPr>
                <w:i/>
                <w:sz w:val="18"/>
                <w:szCs w:val="18"/>
              </w:rPr>
              <w:t>Case-control study—</w:t>
            </w:r>
            <w:r w:rsidRPr="00342D51">
              <w:rPr>
                <w:sz w:val="18"/>
                <w:szCs w:val="18"/>
              </w:rPr>
              <w:t>Report numbers in each exposure category, or summary measures of exposure</w:t>
            </w:r>
          </w:p>
        </w:tc>
        <w:tc>
          <w:tcPr>
            <w:tcW w:w="1336" w:type="dxa"/>
            <w:vAlign w:val="center"/>
          </w:tcPr>
          <w:p w:rsidR="00993FB7" w:rsidRPr="00342D51" w:rsidRDefault="00000000">
            <w:pPr>
              <w:rPr>
                <w:sz w:val="18"/>
                <w:szCs w:val="18"/>
              </w:rPr>
            </w:pPr>
            <w:r w:rsidRPr="00342D51">
              <w:rPr>
                <w:rFonts w:eastAsia="Arial"/>
                <w:sz w:val="18"/>
                <w:szCs w:val="18"/>
              </w:rPr>
              <w:t>Not applicable</w:t>
            </w:r>
          </w:p>
        </w:tc>
        <w:tc>
          <w:tcPr>
            <w:tcW w:w="3112" w:type="dxa"/>
            <w:vAlign w:val="center"/>
          </w:tcPr>
          <w:p w:rsidR="00993FB7" w:rsidRPr="00342D51" w:rsidRDefault="00000000">
            <w:pPr>
              <w:rPr>
                <w:sz w:val="18"/>
                <w:szCs w:val="18"/>
              </w:rPr>
            </w:pPr>
            <w:r w:rsidRPr="00342D51">
              <w:rPr>
                <w:rFonts w:eastAsia="Arial"/>
                <w:sz w:val="18"/>
                <w:szCs w:val="18"/>
              </w:rPr>
              <w:t>Not a case-control study.</w:t>
            </w:r>
          </w:p>
        </w:tc>
      </w:tr>
      <w:tr w:rsidR="00191A23" w:rsidRPr="00342D51" w:rsidTr="002E72E0">
        <w:trPr>
          <w:trHeight w:val="294"/>
        </w:trPr>
        <w:tc>
          <w:tcPr>
            <w:tcW w:w="0" w:type="auto"/>
            <w:vMerge/>
          </w:tcPr>
          <w:p w:rsidR="00191A23" w:rsidRPr="00342D51" w:rsidRDefault="00191A23" w:rsidP="00191A23">
            <w:pPr>
              <w:tabs>
                <w:tab w:val="left" w:pos="5400"/>
              </w:tabs>
              <w:rPr>
                <w:bCs/>
                <w:sz w:val="18"/>
                <w:szCs w:val="18"/>
              </w:rPr>
            </w:pPr>
          </w:p>
        </w:tc>
        <w:tc>
          <w:tcPr>
            <w:tcW w:w="0" w:type="auto"/>
            <w:vMerge/>
          </w:tcPr>
          <w:p w:rsidR="00191A23" w:rsidRPr="00342D51" w:rsidRDefault="00191A23" w:rsidP="00191A23">
            <w:pPr>
              <w:tabs>
                <w:tab w:val="left" w:pos="5400"/>
              </w:tabs>
              <w:jc w:val="center"/>
              <w:rPr>
                <w:sz w:val="18"/>
                <w:szCs w:val="18"/>
              </w:rPr>
            </w:pPr>
          </w:p>
        </w:tc>
        <w:tc>
          <w:tcPr>
            <w:tcW w:w="8278" w:type="dxa"/>
            <w:vAlign w:val="center"/>
          </w:tcPr>
          <w:p w:rsidR="00191A23" w:rsidRPr="00342D51" w:rsidRDefault="00191A23" w:rsidP="00191A23">
            <w:pPr>
              <w:tabs>
                <w:tab w:val="left" w:pos="5400"/>
              </w:tabs>
              <w:rPr>
                <w:i/>
                <w:sz w:val="18"/>
                <w:szCs w:val="18"/>
              </w:rPr>
            </w:pPr>
            <w:r w:rsidRPr="00342D51">
              <w:rPr>
                <w:i/>
                <w:sz w:val="18"/>
                <w:szCs w:val="18"/>
              </w:rPr>
              <w:t>Cross-sectional study—</w:t>
            </w:r>
            <w:r w:rsidRPr="00342D51">
              <w:rPr>
                <w:sz w:val="18"/>
                <w:szCs w:val="18"/>
              </w:rPr>
              <w:t>Report numbers of outcome events or summary measures</w:t>
            </w:r>
          </w:p>
        </w:tc>
        <w:tc>
          <w:tcPr>
            <w:tcW w:w="1336" w:type="dxa"/>
            <w:vAlign w:val="center"/>
          </w:tcPr>
          <w:p w:rsidR="00993FB7" w:rsidRPr="00342D51" w:rsidRDefault="00000000">
            <w:pPr>
              <w:rPr>
                <w:sz w:val="18"/>
                <w:szCs w:val="18"/>
              </w:rPr>
            </w:pPr>
            <w:r w:rsidRPr="00342D51">
              <w:rPr>
                <w:rFonts w:eastAsia="Arial"/>
                <w:sz w:val="18"/>
                <w:szCs w:val="18"/>
              </w:rPr>
              <w:t>Not applicable</w:t>
            </w:r>
          </w:p>
        </w:tc>
        <w:tc>
          <w:tcPr>
            <w:tcW w:w="3112" w:type="dxa"/>
            <w:vAlign w:val="center"/>
          </w:tcPr>
          <w:p w:rsidR="00993FB7" w:rsidRPr="00342D51" w:rsidRDefault="00000000">
            <w:pPr>
              <w:rPr>
                <w:sz w:val="18"/>
                <w:szCs w:val="18"/>
              </w:rPr>
            </w:pPr>
            <w:r w:rsidRPr="00342D51">
              <w:rPr>
                <w:rFonts w:eastAsia="Arial"/>
                <w:sz w:val="18"/>
                <w:szCs w:val="18"/>
              </w:rPr>
              <w:t>Not a cross-sectional study.</w:t>
            </w:r>
          </w:p>
        </w:tc>
      </w:tr>
      <w:tr w:rsidR="002E72E0" w:rsidRPr="00342D51" w:rsidTr="002E72E0">
        <w:tc>
          <w:tcPr>
            <w:tcW w:w="0" w:type="auto"/>
            <w:vMerge w:val="restart"/>
            <w:vAlign w:val="center"/>
          </w:tcPr>
          <w:p w:rsidR="002E72E0" w:rsidRPr="00342D51" w:rsidRDefault="002E72E0" w:rsidP="002E72E0">
            <w:pPr>
              <w:tabs>
                <w:tab w:val="left" w:pos="5400"/>
              </w:tabs>
              <w:rPr>
                <w:bCs/>
                <w:sz w:val="18"/>
                <w:szCs w:val="18"/>
              </w:rPr>
            </w:pPr>
            <w:bookmarkStart w:id="74" w:name="italic40" w:colFirst="0" w:colLast="0"/>
            <w:bookmarkStart w:id="75" w:name="bold41" w:colFirst="0" w:colLast="0"/>
            <w:bookmarkEnd w:id="71"/>
            <w:bookmarkEnd w:id="72"/>
            <w:r w:rsidRPr="00342D51">
              <w:rPr>
                <w:bCs/>
                <w:sz w:val="18"/>
                <w:szCs w:val="18"/>
              </w:rPr>
              <w:t>Main results</w:t>
            </w:r>
          </w:p>
        </w:tc>
        <w:tc>
          <w:tcPr>
            <w:tcW w:w="0" w:type="auto"/>
            <w:vMerge w:val="restart"/>
            <w:vAlign w:val="center"/>
          </w:tcPr>
          <w:p w:rsidR="002E72E0" w:rsidRPr="00342D51" w:rsidRDefault="002E72E0" w:rsidP="002E72E0">
            <w:pPr>
              <w:tabs>
                <w:tab w:val="left" w:pos="5400"/>
              </w:tabs>
              <w:jc w:val="center"/>
              <w:rPr>
                <w:sz w:val="18"/>
                <w:szCs w:val="18"/>
              </w:rPr>
            </w:pPr>
            <w:r w:rsidRPr="00342D51">
              <w:rPr>
                <w:sz w:val="18"/>
                <w:szCs w:val="18"/>
              </w:rPr>
              <w:t>16</w:t>
            </w:r>
          </w:p>
        </w:tc>
        <w:tc>
          <w:tcPr>
            <w:tcW w:w="8278" w:type="dxa"/>
            <w:vAlign w:val="center"/>
          </w:tcPr>
          <w:p w:rsidR="002E72E0" w:rsidRPr="00342D51" w:rsidRDefault="002E72E0" w:rsidP="002E72E0">
            <w:pPr>
              <w:tabs>
                <w:tab w:val="left" w:pos="5400"/>
              </w:tabs>
              <w:rPr>
                <w:sz w:val="18"/>
                <w:szCs w:val="18"/>
              </w:rPr>
            </w:pPr>
            <w:r w:rsidRPr="00342D51">
              <w:rPr>
                <w:sz w:val="18"/>
                <w:szCs w:val="18"/>
              </w:rPr>
              <w:t>(</w:t>
            </w:r>
            <w:r w:rsidRPr="00342D51">
              <w:rPr>
                <w:i/>
                <w:sz w:val="18"/>
                <w:szCs w:val="18"/>
              </w:rPr>
              <w:t>a</w:t>
            </w:r>
            <w:r w:rsidRPr="00342D51">
              <w:rPr>
                <w:sz w:val="18"/>
                <w:szCs w:val="18"/>
              </w:rPr>
              <w:t>) Give unadjusted estimates and, if applicable, confounder-adjusted estimates and their precision (eg, 95% confidence interval). Make clear which confounders were adjusted for and why they were included</w:t>
            </w:r>
          </w:p>
        </w:tc>
        <w:tc>
          <w:tcPr>
            <w:tcW w:w="1336" w:type="dxa"/>
          </w:tcPr>
          <w:p w:rsidR="002E72E0" w:rsidRPr="00342D51" w:rsidRDefault="002E72E0" w:rsidP="002E72E0">
            <w:pPr>
              <w:rPr>
                <w:sz w:val="18"/>
                <w:szCs w:val="18"/>
              </w:rPr>
            </w:pPr>
            <w:r w:rsidRPr="00342D51">
              <w:rPr>
                <w:sz w:val="18"/>
                <w:szCs w:val="18"/>
              </w:rPr>
              <w:t>Results—Factors Associated with 30-Day Mortality; Table 4; Supplementary Tables S6–S10</w:t>
            </w:r>
          </w:p>
        </w:tc>
        <w:tc>
          <w:tcPr>
            <w:tcW w:w="3112" w:type="dxa"/>
            <w:vAlign w:val="center"/>
          </w:tcPr>
          <w:p w:rsidR="00934427" w:rsidRPr="00342D51" w:rsidRDefault="00000000">
            <w:pPr>
              <w:rPr>
                <w:sz w:val="18"/>
                <w:szCs w:val="18"/>
              </w:rPr>
            </w:pPr>
            <w:r w:rsidRPr="00342D51">
              <w:rPr>
                <w:sz w:val="18"/>
                <w:szCs w:val="18"/>
              </w:rPr>
              <w:t>Unadjusted estimates are reported in Supplementary Table S6. Conventional and centre-clustered adjusted estimates with 95% confidence intervals are reported in the main Results text and Table 4. Supplementary Tables S7-S10 present the CFS/CCI sensitivity models, detailed centre-clustered robust results, mixed-effects models and the categorical CFS analysis. CCI point estimates were modest and similar across approaches but less precise in centre-clustered robust models; mixed-effects estimates are conditional on ICU centre, whereas centre-clustered robust estimates arise from the marginal patient-level model. The covariates, complete-case cohort, administrative censoring and tied-event methods are specified.</w:t>
            </w:r>
          </w:p>
        </w:tc>
      </w:tr>
      <w:tr w:rsidR="002E72E0" w:rsidRPr="00342D51" w:rsidTr="002E72E0">
        <w:tc>
          <w:tcPr>
            <w:tcW w:w="0" w:type="auto"/>
            <w:vMerge/>
          </w:tcPr>
          <w:p w:rsidR="002E72E0" w:rsidRPr="00342D51" w:rsidRDefault="002E72E0" w:rsidP="002E72E0">
            <w:pPr>
              <w:tabs>
                <w:tab w:val="left" w:pos="5400"/>
              </w:tabs>
              <w:rPr>
                <w:bCs/>
                <w:sz w:val="18"/>
                <w:szCs w:val="18"/>
              </w:rPr>
            </w:pPr>
            <w:bookmarkStart w:id="76" w:name="italic41" w:colFirst="0" w:colLast="0"/>
            <w:bookmarkStart w:id="77" w:name="bold42" w:colFirst="0" w:colLast="0"/>
            <w:bookmarkEnd w:id="74"/>
            <w:bookmarkEnd w:id="75"/>
          </w:p>
        </w:tc>
        <w:tc>
          <w:tcPr>
            <w:tcW w:w="0" w:type="auto"/>
            <w:vMerge/>
          </w:tcPr>
          <w:p w:rsidR="002E72E0" w:rsidRPr="00342D51" w:rsidRDefault="002E72E0" w:rsidP="002E72E0">
            <w:pPr>
              <w:tabs>
                <w:tab w:val="left" w:pos="5400"/>
              </w:tabs>
              <w:jc w:val="center"/>
              <w:rPr>
                <w:sz w:val="18"/>
                <w:szCs w:val="18"/>
              </w:rPr>
            </w:pPr>
          </w:p>
        </w:tc>
        <w:tc>
          <w:tcPr>
            <w:tcW w:w="8278" w:type="dxa"/>
            <w:vAlign w:val="center"/>
          </w:tcPr>
          <w:p w:rsidR="002E72E0" w:rsidRPr="00342D51" w:rsidRDefault="002E72E0" w:rsidP="002E72E0">
            <w:pPr>
              <w:tabs>
                <w:tab w:val="left" w:pos="5400"/>
              </w:tabs>
              <w:rPr>
                <w:sz w:val="18"/>
                <w:szCs w:val="18"/>
              </w:rPr>
            </w:pPr>
            <w:r w:rsidRPr="00342D51">
              <w:rPr>
                <w:sz w:val="18"/>
                <w:szCs w:val="18"/>
              </w:rPr>
              <w:t>(</w:t>
            </w:r>
            <w:r w:rsidRPr="00342D51">
              <w:rPr>
                <w:i/>
                <w:sz w:val="18"/>
                <w:szCs w:val="18"/>
              </w:rPr>
              <w:t>b</w:t>
            </w:r>
            <w:r w:rsidRPr="00342D51">
              <w:rPr>
                <w:sz w:val="18"/>
                <w:szCs w:val="18"/>
              </w:rPr>
              <w:t>) Report category boundaries when continuous variables were categorized</w:t>
            </w:r>
          </w:p>
        </w:tc>
        <w:tc>
          <w:tcPr>
            <w:tcW w:w="1336" w:type="dxa"/>
          </w:tcPr>
          <w:p w:rsidR="002E72E0" w:rsidRPr="00342D51" w:rsidRDefault="002E72E0" w:rsidP="002E72E0">
            <w:pPr>
              <w:rPr>
                <w:sz w:val="18"/>
                <w:szCs w:val="18"/>
              </w:rPr>
            </w:pPr>
            <w:r w:rsidRPr="00342D51">
              <w:rPr>
                <w:rFonts w:eastAsia="Arial"/>
                <w:sz w:val="18"/>
                <w:szCs w:val="18"/>
              </w:rPr>
              <w:t>Methods—Statistical Analysis; Results; Tables</w:t>
            </w:r>
          </w:p>
        </w:tc>
        <w:tc>
          <w:tcPr>
            <w:tcW w:w="3112" w:type="dxa"/>
            <w:vAlign w:val="center"/>
          </w:tcPr>
          <w:p w:rsidR="002E72E0" w:rsidRPr="00342D51" w:rsidRDefault="002E72E0" w:rsidP="002E72E0">
            <w:pPr>
              <w:rPr>
                <w:sz w:val="18"/>
                <w:szCs w:val="18"/>
              </w:rPr>
            </w:pPr>
            <w:r w:rsidRPr="00342D51">
              <w:rPr>
                <w:rFonts w:eastAsia="Arial"/>
                <w:sz w:val="18"/>
                <w:szCs w:val="18"/>
              </w:rPr>
              <w:t>Category boundaries reported for age strata, CFS categories, FRAIL, Katz ADL and mNUTRIC; CFS categorical sensitivity analysis uses &lt;5, 5–6 and 7–9.</w:t>
            </w:r>
          </w:p>
        </w:tc>
      </w:tr>
      <w:tr w:rsidR="002E72E0" w:rsidRPr="00342D51" w:rsidTr="002E72E0">
        <w:tc>
          <w:tcPr>
            <w:tcW w:w="0" w:type="auto"/>
            <w:vMerge/>
          </w:tcPr>
          <w:p w:rsidR="002E72E0" w:rsidRPr="00342D51" w:rsidRDefault="002E72E0" w:rsidP="002E72E0">
            <w:pPr>
              <w:tabs>
                <w:tab w:val="left" w:pos="5400"/>
              </w:tabs>
              <w:rPr>
                <w:bCs/>
                <w:sz w:val="18"/>
                <w:szCs w:val="18"/>
              </w:rPr>
            </w:pPr>
            <w:bookmarkStart w:id="78" w:name="italic42" w:colFirst="0" w:colLast="0"/>
            <w:bookmarkStart w:id="79" w:name="bold43" w:colFirst="0" w:colLast="0"/>
            <w:bookmarkEnd w:id="76"/>
            <w:bookmarkEnd w:id="77"/>
          </w:p>
        </w:tc>
        <w:tc>
          <w:tcPr>
            <w:tcW w:w="0" w:type="auto"/>
            <w:vMerge/>
          </w:tcPr>
          <w:p w:rsidR="002E72E0" w:rsidRPr="00342D51" w:rsidRDefault="002E72E0" w:rsidP="002E72E0">
            <w:pPr>
              <w:tabs>
                <w:tab w:val="left" w:pos="5400"/>
              </w:tabs>
              <w:jc w:val="center"/>
              <w:rPr>
                <w:sz w:val="18"/>
                <w:szCs w:val="18"/>
              </w:rPr>
            </w:pPr>
          </w:p>
        </w:tc>
        <w:tc>
          <w:tcPr>
            <w:tcW w:w="8278" w:type="dxa"/>
            <w:vAlign w:val="center"/>
          </w:tcPr>
          <w:p w:rsidR="002E72E0" w:rsidRPr="00342D51" w:rsidRDefault="002E72E0" w:rsidP="002E72E0">
            <w:pPr>
              <w:tabs>
                <w:tab w:val="left" w:pos="5400"/>
              </w:tabs>
              <w:rPr>
                <w:sz w:val="18"/>
                <w:szCs w:val="18"/>
              </w:rPr>
            </w:pPr>
            <w:r w:rsidRPr="00342D51">
              <w:rPr>
                <w:sz w:val="18"/>
                <w:szCs w:val="18"/>
              </w:rPr>
              <w:t>(</w:t>
            </w:r>
            <w:r w:rsidRPr="00342D51">
              <w:rPr>
                <w:i/>
                <w:sz w:val="18"/>
                <w:szCs w:val="18"/>
              </w:rPr>
              <w:t>c</w:t>
            </w:r>
            <w:r w:rsidRPr="00342D51">
              <w:rPr>
                <w:sz w:val="18"/>
                <w:szCs w:val="18"/>
              </w:rPr>
              <w:t>) If relevant, consider translating estimates of relative risk into absolute risk for a meaningful time period</w:t>
            </w:r>
          </w:p>
        </w:tc>
        <w:tc>
          <w:tcPr>
            <w:tcW w:w="1336" w:type="dxa"/>
          </w:tcPr>
          <w:p w:rsidR="002E72E0" w:rsidRPr="00342D51" w:rsidRDefault="002E72E0" w:rsidP="002E72E0">
            <w:pPr>
              <w:rPr>
                <w:sz w:val="18"/>
                <w:szCs w:val="18"/>
              </w:rPr>
            </w:pPr>
            <w:r w:rsidRPr="00342D51">
              <w:rPr>
                <w:sz w:val="18"/>
                <w:szCs w:val="18"/>
              </w:rPr>
              <w:t>Results; Supplementary Table S10</w:t>
            </w:r>
          </w:p>
        </w:tc>
        <w:tc>
          <w:tcPr>
            <w:tcW w:w="3112" w:type="dxa"/>
            <w:vAlign w:val="center"/>
          </w:tcPr>
          <w:p w:rsidR="002E72E0" w:rsidRPr="00342D51" w:rsidRDefault="002E72E0" w:rsidP="002E72E0">
            <w:pPr>
              <w:rPr>
                <w:sz w:val="18"/>
                <w:szCs w:val="18"/>
              </w:rPr>
            </w:pPr>
            <w:r w:rsidRPr="00342D51">
              <w:rPr>
                <w:sz w:val="18"/>
                <w:szCs w:val="18"/>
              </w:rPr>
              <w:t>Absolute risks/crude mortality are reported where clinically relevant, including 30-day mortality overall and crude mortality across clinically meaningful CFS categories in Supplementary Table S10.</w:t>
            </w:r>
          </w:p>
        </w:tc>
      </w:tr>
    </w:tbl>
    <w:p w:rsidR="00191A23" w:rsidRPr="00342D51" w:rsidRDefault="00191A23">
      <w:pPr>
        <w:rPr>
          <w:sz w:val="18"/>
          <w:szCs w:val="18"/>
        </w:rPr>
      </w:pPr>
      <w:bookmarkStart w:id="80" w:name="italic43"/>
      <w:bookmarkStart w:id="81" w:name="bold44"/>
      <w:bookmarkEnd w:id="78"/>
      <w:bookmarkEnd w:id="79"/>
      <w:r w:rsidRPr="00342D51">
        <w:rPr>
          <w:sz w:val="18"/>
          <w:szCs w:val="18"/>
        </w:rPr>
        <w:br w:type="page"/>
      </w: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367"/>
        <w:gridCol w:w="396"/>
        <w:gridCol w:w="8758"/>
        <w:gridCol w:w="1316"/>
        <w:gridCol w:w="3155"/>
      </w:tblGrid>
      <w:tr w:rsidR="00191A23" w:rsidRPr="00342D51" w:rsidTr="002E72E0">
        <w:tc>
          <w:tcPr>
            <w:tcW w:w="0" w:type="auto"/>
            <w:vAlign w:val="center"/>
          </w:tcPr>
          <w:p w:rsidR="00191A23" w:rsidRPr="00342D51" w:rsidRDefault="00191A23" w:rsidP="00191A23">
            <w:pPr>
              <w:tabs>
                <w:tab w:val="left" w:pos="5400"/>
              </w:tabs>
              <w:rPr>
                <w:bCs/>
                <w:sz w:val="18"/>
                <w:szCs w:val="18"/>
              </w:rPr>
            </w:pPr>
            <w:r w:rsidRPr="00342D51">
              <w:rPr>
                <w:bCs/>
                <w:sz w:val="18"/>
                <w:szCs w:val="18"/>
              </w:rPr>
              <w:lastRenderedPageBreak/>
              <w:t>Other analyses</w:t>
            </w:r>
            <w:bookmarkEnd w:id="80"/>
            <w:bookmarkEnd w:id="81"/>
          </w:p>
        </w:tc>
        <w:tc>
          <w:tcPr>
            <w:tcW w:w="0" w:type="auto"/>
            <w:vAlign w:val="center"/>
          </w:tcPr>
          <w:p w:rsidR="00191A23" w:rsidRPr="00342D51" w:rsidRDefault="00191A23" w:rsidP="00191A23">
            <w:pPr>
              <w:tabs>
                <w:tab w:val="left" w:pos="5400"/>
              </w:tabs>
              <w:jc w:val="center"/>
              <w:rPr>
                <w:sz w:val="18"/>
                <w:szCs w:val="18"/>
              </w:rPr>
            </w:pPr>
            <w:r w:rsidRPr="00342D51">
              <w:rPr>
                <w:sz w:val="18"/>
                <w:szCs w:val="18"/>
              </w:rPr>
              <w:t>17</w:t>
            </w:r>
          </w:p>
        </w:tc>
        <w:tc>
          <w:tcPr>
            <w:tcW w:w="8758" w:type="dxa"/>
            <w:vAlign w:val="center"/>
          </w:tcPr>
          <w:p w:rsidR="00191A23" w:rsidRPr="00342D51" w:rsidRDefault="00191A23" w:rsidP="00191A23">
            <w:pPr>
              <w:tabs>
                <w:tab w:val="left" w:pos="5400"/>
              </w:tabs>
              <w:rPr>
                <w:sz w:val="18"/>
                <w:szCs w:val="18"/>
              </w:rPr>
            </w:pPr>
            <w:r w:rsidRPr="00342D51">
              <w:rPr>
                <w:sz w:val="18"/>
                <w:szCs w:val="18"/>
              </w:rPr>
              <w:t>Report other analyses done—eg analyses of subgroups and interactions, and sensitivity analyses</w:t>
            </w:r>
          </w:p>
        </w:tc>
        <w:tc>
          <w:tcPr>
            <w:tcW w:w="1316" w:type="dxa"/>
            <w:vAlign w:val="center"/>
          </w:tcPr>
          <w:p w:rsidR="006C70F1" w:rsidRPr="00342D51" w:rsidRDefault="009F17F4">
            <w:pPr>
              <w:rPr>
                <w:sz w:val="18"/>
                <w:szCs w:val="18"/>
              </w:rPr>
            </w:pPr>
            <w:r w:rsidRPr="00342D51">
              <w:rPr>
                <w:sz w:val="18"/>
                <w:szCs w:val="18"/>
              </w:rPr>
              <w:t>Results; Factors Associated with 30-Day Mortality; Table 4; Supplementary Figure S1; Supplementary Tables S5–S10</w:t>
            </w:r>
          </w:p>
        </w:tc>
        <w:tc>
          <w:tcPr>
            <w:tcW w:w="3155" w:type="dxa"/>
            <w:vAlign w:val="center"/>
          </w:tcPr>
          <w:p w:rsidR="00934427" w:rsidRPr="00342D51" w:rsidRDefault="00000000">
            <w:pPr>
              <w:rPr>
                <w:sz w:val="18"/>
                <w:szCs w:val="18"/>
              </w:rPr>
            </w:pPr>
            <w:r w:rsidRPr="00342D51">
              <w:rPr>
                <w:sz w:val="18"/>
                <w:szCs w:val="18"/>
              </w:rPr>
              <w:t>Other analyses include the secondary descriptive agreement analysis of locally recorded APACHE II-predicted mortality probabilities (Supplementary Table S5 and Supplementary Figure S1), univariable Cox analyses, CFS/CCI sensitivity models, centre-clustered robust models, mixed-effects models and the categorical CFS sensitivity analysis. Formal Grambsch-Therneau proportional-hazards tests and scaled Schoenfeld-residual plots are reported in the Results and Supplementary File 2. Harrell's C-index is reported for the SOFA-only and primary multivariable landmark Cox models. Efron tie-handling sensitivity analyses are additionally reported in the Results and Supplementary File 2.</w:t>
            </w:r>
          </w:p>
        </w:tc>
      </w:tr>
      <w:tr w:rsidR="00976EE1" w:rsidRPr="00342D51" w:rsidTr="00191A23">
        <w:tc>
          <w:tcPr>
            <w:tcW w:w="14992" w:type="dxa"/>
            <w:gridSpan w:val="5"/>
            <w:vAlign w:val="center"/>
          </w:tcPr>
          <w:p w:rsidR="00976EE1" w:rsidRPr="00342D51" w:rsidRDefault="00976EE1" w:rsidP="00191A23">
            <w:pPr>
              <w:pStyle w:val="TableSubHead"/>
              <w:tabs>
                <w:tab w:val="left" w:pos="5400"/>
              </w:tabs>
              <w:spacing w:before="0"/>
              <w:rPr>
                <w:sz w:val="18"/>
                <w:szCs w:val="18"/>
              </w:rPr>
            </w:pPr>
            <w:bookmarkStart w:id="82" w:name="italic44"/>
            <w:bookmarkStart w:id="83" w:name="bold45"/>
            <w:r w:rsidRPr="00342D51">
              <w:rPr>
                <w:sz w:val="18"/>
                <w:szCs w:val="18"/>
              </w:rPr>
              <w:t>Discussion</w:t>
            </w:r>
            <w:bookmarkEnd w:id="82"/>
            <w:bookmarkEnd w:id="83"/>
          </w:p>
        </w:tc>
      </w:tr>
      <w:tr w:rsidR="002E72E0" w:rsidRPr="00342D51" w:rsidTr="00B4727F">
        <w:tc>
          <w:tcPr>
            <w:tcW w:w="0" w:type="auto"/>
            <w:vAlign w:val="center"/>
          </w:tcPr>
          <w:p w:rsidR="002E72E0" w:rsidRPr="00342D51" w:rsidRDefault="002E72E0" w:rsidP="002E72E0">
            <w:pPr>
              <w:tabs>
                <w:tab w:val="left" w:pos="5400"/>
              </w:tabs>
              <w:rPr>
                <w:bCs/>
                <w:sz w:val="18"/>
                <w:szCs w:val="18"/>
              </w:rPr>
            </w:pPr>
            <w:bookmarkStart w:id="84" w:name="italic45" w:colFirst="0" w:colLast="0"/>
            <w:bookmarkStart w:id="85" w:name="bold46" w:colFirst="0" w:colLast="0"/>
            <w:r w:rsidRPr="00342D51">
              <w:rPr>
                <w:bCs/>
                <w:sz w:val="18"/>
                <w:szCs w:val="18"/>
              </w:rPr>
              <w:t>Key results</w:t>
            </w:r>
          </w:p>
        </w:tc>
        <w:tc>
          <w:tcPr>
            <w:tcW w:w="0" w:type="auto"/>
            <w:vAlign w:val="center"/>
          </w:tcPr>
          <w:p w:rsidR="002E72E0" w:rsidRPr="00342D51" w:rsidRDefault="002E72E0" w:rsidP="002E72E0">
            <w:pPr>
              <w:tabs>
                <w:tab w:val="left" w:pos="5400"/>
              </w:tabs>
              <w:jc w:val="center"/>
              <w:rPr>
                <w:sz w:val="18"/>
                <w:szCs w:val="18"/>
              </w:rPr>
            </w:pPr>
            <w:r w:rsidRPr="00342D51">
              <w:rPr>
                <w:sz w:val="18"/>
                <w:szCs w:val="18"/>
              </w:rPr>
              <w:t>18</w:t>
            </w:r>
          </w:p>
        </w:tc>
        <w:tc>
          <w:tcPr>
            <w:tcW w:w="8758" w:type="dxa"/>
            <w:vAlign w:val="center"/>
          </w:tcPr>
          <w:p w:rsidR="002E72E0" w:rsidRPr="00342D51" w:rsidRDefault="002E72E0" w:rsidP="002E72E0">
            <w:pPr>
              <w:tabs>
                <w:tab w:val="left" w:pos="5400"/>
              </w:tabs>
              <w:rPr>
                <w:sz w:val="18"/>
                <w:szCs w:val="18"/>
              </w:rPr>
            </w:pPr>
            <w:r w:rsidRPr="00342D51">
              <w:rPr>
                <w:sz w:val="18"/>
                <w:szCs w:val="18"/>
              </w:rPr>
              <w:t>Summarise key results with reference to study objectives</w:t>
            </w:r>
          </w:p>
        </w:tc>
        <w:tc>
          <w:tcPr>
            <w:tcW w:w="1316" w:type="dxa"/>
          </w:tcPr>
          <w:p w:rsidR="002E72E0" w:rsidRPr="00342D51" w:rsidRDefault="002E72E0" w:rsidP="002E72E0">
            <w:pPr>
              <w:rPr>
                <w:sz w:val="18"/>
                <w:szCs w:val="18"/>
              </w:rPr>
            </w:pPr>
            <w:r w:rsidRPr="00342D51">
              <w:rPr>
                <w:rFonts w:eastAsia="Arial"/>
                <w:sz w:val="18"/>
                <w:szCs w:val="18"/>
              </w:rPr>
              <w:t>Discussion—Opening paragraphs</w:t>
            </w:r>
          </w:p>
        </w:tc>
        <w:tc>
          <w:tcPr>
            <w:tcW w:w="3155" w:type="dxa"/>
            <w:vAlign w:val="center"/>
          </w:tcPr>
          <w:p w:rsidR="00934427" w:rsidRPr="00342D51" w:rsidRDefault="00000000">
            <w:pPr>
              <w:rPr>
                <w:sz w:val="18"/>
                <w:szCs w:val="18"/>
              </w:rPr>
            </w:pPr>
            <w:r w:rsidRPr="00342D51">
              <w:rPr>
                <w:sz w:val="18"/>
                <w:szCs w:val="18"/>
              </w:rPr>
              <w:t xml:space="preserve">The Discussion summarises that frailty and early organ dysfunction showed the most consistent associations with 30-day mortality, whereas chronological age was not independently associated. CCI point estimates were modest and similar across modelling approaches but were estimated with less precision in centre-clustered robust models. The distinction between marginal centre-clustered robust estimates and centre-conditional mixed-effects estimates is </w:t>
            </w:r>
            <w:r w:rsidRPr="00342D51">
              <w:rPr>
                <w:sz w:val="18"/>
                <w:szCs w:val="18"/>
              </w:rPr>
              <w:lastRenderedPageBreak/>
              <w:t>stated. Proportional-hazards diagnostics showed no evidence of non-proportionality, and the substantive conclusions for CFS and SOFA were unchanged under Breslow and Efron tie handling.</w:t>
            </w:r>
          </w:p>
        </w:tc>
      </w:tr>
      <w:tr w:rsidR="002E72E0" w:rsidRPr="00342D51" w:rsidTr="00C523C2">
        <w:tc>
          <w:tcPr>
            <w:tcW w:w="0" w:type="auto"/>
            <w:vAlign w:val="center"/>
          </w:tcPr>
          <w:p w:rsidR="002E72E0" w:rsidRPr="00342D51" w:rsidRDefault="002E72E0" w:rsidP="002E72E0">
            <w:pPr>
              <w:tabs>
                <w:tab w:val="left" w:pos="5400"/>
              </w:tabs>
              <w:rPr>
                <w:bCs/>
                <w:sz w:val="18"/>
                <w:szCs w:val="18"/>
              </w:rPr>
            </w:pPr>
            <w:bookmarkStart w:id="86" w:name="italic46" w:colFirst="0" w:colLast="0"/>
            <w:bookmarkStart w:id="87" w:name="bold47" w:colFirst="0" w:colLast="0"/>
            <w:bookmarkEnd w:id="84"/>
            <w:bookmarkEnd w:id="85"/>
            <w:r w:rsidRPr="00342D51">
              <w:rPr>
                <w:bCs/>
                <w:sz w:val="18"/>
                <w:szCs w:val="18"/>
              </w:rPr>
              <w:lastRenderedPageBreak/>
              <w:t>Limitations</w:t>
            </w:r>
          </w:p>
        </w:tc>
        <w:tc>
          <w:tcPr>
            <w:tcW w:w="0" w:type="auto"/>
            <w:vAlign w:val="center"/>
          </w:tcPr>
          <w:p w:rsidR="002E72E0" w:rsidRPr="00342D51" w:rsidRDefault="002E72E0" w:rsidP="002E72E0">
            <w:pPr>
              <w:tabs>
                <w:tab w:val="left" w:pos="5400"/>
              </w:tabs>
              <w:jc w:val="center"/>
              <w:rPr>
                <w:sz w:val="18"/>
                <w:szCs w:val="18"/>
              </w:rPr>
            </w:pPr>
            <w:r w:rsidRPr="00342D51">
              <w:rPr>
                <w:sz w:val="18"/>
                <w:szCs w:val="18"/>
              </w:rPr>
              <w:t>19</w:t>
            </w:r>
          </w:p>
        </w:tc>
        <w:tc>
          <w:tcPr>
            <w:tcW w:w="8758" w:type="dxa"/>
            <w:vAlign w:val="center"/>
          </w:tcPr>
          <w:p w:rsidR="002E72E0" w:rsidRPr="00342D51" w:rsidRDefault="002E72E0" w:rsidP="002E72E0">
            <w:pPr>
              <w:tabs>
                <w:tab w:val="left" w:pos="5400"/>
              </w:tabs>
              <w:rPr>
                <w:sz w:val="18"/>
                <w:szCs w:val="18"/>
              </w:rPr>
            </w:pPr>
            <w:r w:rsidRPr="00342D51">
              <w:rPr>
                <w:sz w:val="18"/>
                <w:szCs w:val="18"/>
              </w:rPr>
              <w:t>Discuss limitations of the study, taking into account sources of potential bias or imprecision. Discuss both direction and magnitude of any potential bias</w:t>
            </w:r>
          </w:p>
        </w:tc>
        <w:tc>
          <w:tcPr>
            <w:tcW w:w="1316" w:type="dxa"/>
          </w:tcPr>
          <w:p w:rsidR="002E72E0" w:rsidRPr="00342D51" w:rsidRDefault="002E72E0" w:rsidP="002E72E0">
            <w:pPr>
              <w:rPr>
                <w:sz w:val="18"/>
                <w:szCs w:val="18"/>
              </w:rPr>
            </w:pPr>
            <w:r w:rsidRPr="00342D51">
              <w:rPr>
                <w:rFonts w:eastAsia="Arial"/>
                <w:sz w:val="18"/>
                <w:szCs w:val="18"/>
              </w:rPr>
              <w:t>Discussion—Limitations</w:t>
            </w:r>
          </w:p>
        </w:tc>
        <w:tc>
          <w:tcPr>
            <w:tcW w:w="3155" w:type="dxa"/>
            <w:vAlign w:val="center"/>
          </w:tcPr>
          <w:p w:rsidR="002E72E0" w:rsidRPr="00342D51" w:rsidRDefault="009F17F4" w:rsidP="002E72E0">
            <w:pPr>
              <w:rPr>
                <w:sz w:val="18"/>
                <w:szCs w:val="18"/>
              </w:rPr>
            </w:pPr>
            <w:r w:rsidRPr="00342D51">
              <w:rPr>
                <w:sz w:val="18"/>
                <w:szCs w:val="18"/>
              </w:rPr>
              <w:t>Limitations address selection related to the 48-hour ICU-stay criterion and landmark interpretation, absence of formal competing-risk modelling, residual centre-level variation, unequal centre sizes, treatment-limitation practices, unadjusted descriptive comparisons of organ support, adjunctive therapies and ICU-acquired complications, heterogeneous locally recorded APACHE II mortality predictions, absence of inter-rater reliability testing for subjective premorbid assessments, possible outcome misclassification, generalisability and absence of long-term functional outcomes.</w:t>
            </w:r>
          </w:p>
        </w:tc>
      </w:tr>
      <w:tr w:rsidR="002E72E0" w:rsidRPr="00342D51" w:rsidTr="002E72E0">
        <w:tc>
          <w:tcPr>
            <w:tcW w:w="0" w:type="auto"/>
            <w:vAlign w:val="center"/>
          </w:tcPr>
          <w:p w:rsidR="002E72E0" w:rsidRPr="00342D51" w:rsidRDefault="002E72E0" w:rsidP="002E72E0">
            <w:pPr>
              <w:tabs>
                <w:tab w:val="left" w:pos="5400"/>
              </w:tabs>
              <w:rPr>
                <w:bCs/>
                <w:sz w:val="18"/>
                <w:szCs w:val="18"/>
              </w:rPr>
            </w:pPr>
            <w:bookmarkStart w:id="88" w:name="italic47" w:colFirst="0" w:colLast="0"/>
            <w:bookmarkStart w:id="89" w:name="bold48" w:colFirst="0" w:colLast="0"/>
            <w:bookmarkEnd w:id="86"/>
            <w:bookmarkEnd w:id="87"/>
            <w:r w:rsidRPr="00342D51">
              <w:rPr>
                <w:bCs/>
                <w:sz w:val="18"/>
                <w:szCs w:val="18"/>
              </w:rPr>
              <w:t>Interpretation</w:t>
            </w:r>
          </w:p>
        </w:tc>
        <w:tc>
          <w:tcPr>
            <w:tcW w:w="0" w:type="auto"/>
            <w:vAlign w:val="center"/>
          </w:tcPr>
          <w:p w:rsidR="002E72E0" w:rsidRPr="00342D51" w:rsidRDefault="002E72E0" w:rsidP="002E72E0">
            <w:pPr>
              <w:tabs>
                <w:tab w:val="left" w:pos="5400"/>
              </w:tabs>
              <w:jc w:val="center"/>
              <w:rPr>
                <w:sz w:val="18"/>
                <w:szCs w:val="18"/>
              </w:rPr>
            </w:pPr>
            <w:r w:rsidRPr="00342D51">
              <w:rPr>
                <w:sz w:val="18"/>
                <w:szCs w:val="18"/>
              </w:rPr>
              <w:t>20</w:t>
            </w:r>
          </w:p>
        </w:tc>
        <w:tc>
          <w:tcPr>
            <w:tcW w:w="8758" w:type="dxa"/>
            <w:vAlign w:val="center"/>
          </w:tcPr>
          <w:p w:rsidR="002E72E0" w:rsidRPr="00342D51" w:rsidRDefault="002E72E0" w:rsidP="002E72E0">
            <w:pPr>
              <w:tabs>
                <w:tab w:val="left" w:pos="5400"/>
              </w:tabs>
              <w:rPr>
                <w:sz w:val="18"/>
                <w:szCs w:val="18"/>
              </w:rPr>
            </w:pPr>
            <w:r w:rsidRPr="00342D51">
              <w:rPr>
                <w:sz w:val="18"/>
                <w:szCs w:val="18"/>
              </w:rPr>
              <w:t>Give a cautious overall interpretation of results considering objectives, limitations, multiplicity of analyses, results from similar studies, and other relevant evidence</w:t>
            </w:r>
          </w:p>
        </w:tc>
        <w:tc>
          <w:tcPr>
            <w:tcW w:w="1316" w:type="dxa"/>
          </w:tcPr>
          <w:p w:rsidR="002E72E0" w:rsidRPr="00342D51" w:rsidRDefault="002E72E0" w:rsidP="002E72E0">
            <w:pPr>
              <w:rPr>
                <w:sz w:val="18"/>
                <w:szCs w:val="18"/>
              </w:rPr>
            </w:pPr>
            <w:r w:rsidRPr="00342D51">
              <w:rPr>
                <w:rFonts w:eastAsia="Arial"/>
                <w:sz w:val="18"/>
                <w:szCs w:val="18"/>
              </w:rPr>
              <w:t>Discussion; Conclusions</w:t>
            </w:r>
          </w:p>
        </w:tc>
        <w:tc>
          <w:tcPr>
            <w:tcW w:w="3155" w:type="dxa"/>
            <w:vAlign w:val="center"/>
          </w:tcPr>
          <w:p w:rsidR="00934427" w:rsidRPr="00342D51" w:rsidRDefault="00000000">
            <w:pPr>
              <w:rPr>
                <w:sz w:val="18"/>
                <w:szCs w:val="18"/>
              </w:rPr>
            </w:pPr>
            <w:r w:rsidRPr="00342D51">
              <w:rPr>
                <w:sz w:val="18"/>
                <w:szCs w:val="18"/>
              </w:rPr>
              <w:t xml:space="preserve">Interpretation is explicitly cautious and confirmatory. It considers the observational design, conditional 48-hour landmark cohort, centre-level heterogeneity, the modest CCI association and its reduced precision after accounting for within-centre correlation, the different marginal versus centre-conditional estimands, </w:t>
            </w:r>
            <w:r w:rsidRPr="00342D51">
              <w:rPr>
                <w:sz w:val="18"/>
                <w:szCs w:val="18"/>
              </w:rPr>
              <w:lastRenderedPageBreak/>
              <w:t>previous literature, the descriptive and unadjusted nature of the organ-support, adjunctive-therapy and complication comparisons, and the exploratory nature of the locally recorded APACHE II analyses. The manuscript states that incremental discrimination, reclassification and decision-curve performance were not evaluated.</w:t>
            </w:r>
          </w:p>
        </w:tc>
      </w:tr>
      <w:tr w:rsidR="00191A23" w:rsidRPr="00342D51" w:rsidTr="002E72E0">
        <w:tc>
          <w:tcPr>
            <w:tcW w:w="0" w:type="auto"/>
            <w:vAlign w:val="center"/>
          </w:tcPr>
          <w:p w:rsidR="00191A23" w:rsidRPr="00342D51" w:rsidRDefault="00191A23" w:rsidP="00191A23">
            <w:pPr>
              <w:tabs>
                <w:tab w:val="left" w:pos="5400"/>
              </w:tabs>
              <w:rPr>
                <w:bCs/>
                <w:sz w:val="18"/>
                <w:szCs w:val="18"/>
              </w:rPr>
            </w:pPr>
            <w:bookmarkStart w:id="90" w:name="italic48" w:colFirst="0" w:colLast="0"/>
            <w:bookmarkStart w:id="91" w:name="bold49" w:colFirst="0" w:colLast="0"/>
            <w:bookmarkEnd w:id="88"/>
            <w:bookmarkEnd w:id="89"/>
            <w:r w:rsidRPr="00342D51">
              <w:rPr>
                <w:bCs/>
                <w:sz w:val="18"/>
                <w:szCs w:val="18"/>
              </w:rPr>
              <w:lastRenderedPageBreak/>
              <w:t>Generalisability</w:t>
            </w:r>
          </w:p>
        </w:tc>
        <w:tc>
          <w:tcPr>
            <w:tcW w:w="0" w:type="auto"/>
            <w:vAlign w:val="center"/>
          </w:tcPr>
          <w:p w:rsidR="00191A23" w:rsidRPr="00342D51" w:rsidRDefault="00191A23" w:rsidP="00191A23">
            <w:pPr>
              <w:tabs>
                <w:tab w:val="left" w:pos="5400"/>
              </w:tabs>
              <w:jc w:val="center"/>
              <w:rPr>
                <w:sz w:val="18"/>
                <w:szCs w:val="18"/>
              </w:rPr>
            </w:pPr>
            <w:r w:rsidRPr="00342D51">
              <w:rPr>
                <w:sz w:val="18"/>
                <w:szCs w:val="18"/>
              </w:rPr>
              <w:t>21</w:t>
            </w:r>
          </w:p>
        </w:tc>
        <w:tc>
          <w:tcPr>
            <w:tcW w:w="8758" w:type="dxa"/>
            <w:vAlign w:val="center"/>
          </w:tcPr>
          <w:p w:rsidR="00191A23" w:rsidRPr="00342D51" w:rsidRDefault="00191A23" w:rsidP="00191A23">
            <w:pPr>
              <w:tabs>
                <w:tab w:val="left" w:pos="5400"/>
              </w:tabs>
              <w:rPr>
                <w:sz w:val="18"/>
                <w:szCs w:val="18"/>
              </w:rPr>
            </w:pPr>
            <w:r w:rsidRPr="00342D51">
              <w:rPr>
                <w:sz w:val="18"/>
                <w:szCs w:val="18"/>
              </w:rPr>
              <w:t>Discuss the generalisability (external validity) of the study results</w:t>
            </w:r>
          </w:p>
        </w:tc>
        <w:tc>
          <w:tcPr>
            <w:tcW w:w="1316" w:type="dxa"/>
            <w:vAlign w:val="center"/>
          </w:tcPr>
          <w:p w:rsidR="00993FB7" w:rsidRPr="00342D51" w:rsidRDefault="002E72E0">
            <w:pPr>
              <w:rPr>
                <w:sz w:val="18"/>
                <w:szCs w:val="18"/>
              </w:rPr>
            </w:pPr>
            <w:r w:rsidRPr="00342D51">
              <w:rPr>
                <w:rFonts w:eastAsia="Arial"/>
                <w:sz w:val="18"/>
                <w:szCs w:val="18"/>
              </w:rPr>
              <w:t>Discussion—Limitations; Conclusions</w:t>
            </w:r>
          </w:p>
        </w:tc>
        <w:tc>
          <w:tcPr>
            <w:tcW w:w="3155" w:type="dxa"/>
            <w:vAlign w:val="center"/>
          </w:tcPr>
          <w:p w:rsidR="006C70F1" w:rsidRPr="00342D51" w:rsidRDefault="00000000">
            <w:pPr>
              <w:rPr>
                <w:sz w:val="18"/>
                <w:szCs w:val="18"/>
              </w:rPr>
            </w:pPr>
            <w:r w:rsidRPr="00342D51">
              <w:rPr>
                <w:sz w:val="18"/>
                <w:szCs w:val="18"/>
              </w:rPr>
              <w:t>Generalisability discussed in relation to 55 ICUs across Türkiye, a selected analytic cohort with ICU length of stay exceeding 48 hours, a single 1-month enrolment period, sepsis-heavy case mix, and potential differences in admission criteria, resources and case mix in other settings.</w:t>
            </w:r>
          </w:p>
        </w:tc>
      </w:tr>
      <w:tr w:rsidR="00191A23" w:rsidRPr="00342D51" w:rsidTr="002E72E0">
        <w:tc>
          <w:tcPr>
            <w:tcW w:w="1763" w:type="dxa"/>
            <w:gridSpan w:val="2"/>
            <w:vAlign w:val="center"/>
          </w:tcPr>
          <w:p w:rsidR="00191A23" w:rsidRPr="00342D51" w:rsidRDefault="00191A23" w:rsidP="00191A23">
            <w:pPr>
              <w:pStyle w:val="TableSubHead"/>
              <w:tabs>
                <w:tab w:val="left" w:pos="5400"/>
              </w:tabs>
              <w:spacing w:before="0"/>
              <w:rPr>
                <w:sz w:val="18"/>
                <w:szCs w:val="18"/>
              </w:rPr>
            </w:pPr>
            <w:bookmarkStart w:id="92" w:name="italic49"/>
            <w:bookmarkStart w:id="93" w:name="bold50"/>
            <w:bookmarkEnd w:id="90"/>
            <w:bookmarkEnd w:id="91"/>
            <w:r w:rsidRPr="00342D51">
              <w:rPr>
                <w:sz w:val="18"/>
                <w:szCs w:val="18"/>
              </w:rPr>
              <w:t>Other information</w:t>
            </w:r>
          </w:p>
        </w:tc>
        <w:bookmarkEnd w:id="92"/>
        <w:bookmarkEnd w:id="93"/>
        <w:tc>
          <w:tcPr>
            <w:tcW w:w="13229" w:type="dxa"/>
            <w:gridSpan w:val="3"/>
            <w:vAlign w:val="center"/>
          </w:tcPr>
          <w:p w:rsidR="00191A23" w:rsidRPr="00342D51" w:rsidRDefault="00191A23" w:rsidP="00191A23">
            <w:pPr>
              <w:pStyle w:val="TableSubHead"/>
              <w:tabs>
                <w:tab w:val="left" w:pos="5400"/>
              </w:tabs>
              <w:spacing w:before="0"/>
              <w:rPr>
                <w:sz w:val="18"/>
                <w:szCs w:val="18"/>
              </w:rPr>
            </w:pPr>
          </w:p>
        </w:tc>
      </w:tr>
      <w:tr w:rsidR="002E72E0" w:rsidRPr="00342D51" w:rsidTr="002E72E0">
        <w:tc>
          <w:tcPr>
            <w:tcW w:w="0" w:type="auto"/>
            <w:vAlign w:val="center"/>
          </w:tcPr>
          <w:p w:rsidR="002E72E0" w:rsidRPr="00342D51" w:rsidRDefault="002E72E0" w:rsidP="002E72E0">
            <w:pPr>
              <w:tabs>
                <w:tab w:val="left" w:pos="5400"/>
              </w:tabs>
              <w:rPr>
                <w:bCs/>
                <w:sz w:val="18"/>
                <w:szCs w:val="18"/>
              </w:rPr>
            </w:pPr>
            <w:bookmarkStart w:id="94" w:name="italic50" w:colFirst="0" w:colLast="0"/>
            <w:bookmarkStart w:id="95" w:name="bold51" w:colFirst="0" w:colLast="0"/>
            <w:r w:rsidRPr="00342D51">
              <w:rPr>
                <w:bCs/>
                <w:sz w:val="18"/>
                <w:szCs w:val="18"/>
              </w:rPr>
              <w:t>Funding</w:t>
            </w:r>
          </w:p>
        </w:tc>
        <w:tc>
          <w:tcPr>
            <w:tcW w:w="0" w:type="auto"/>
            <w:vAlign w:val="center"/>
          </w:tcPr>
          <w:p w:rsidR="002E72E0" w:rsidRPr="00342D51" w:rsidRDefault="002E72E0" w:rsidP="002E72E0">
            <w:pPr>
              <w:tabs>
                <w:tab w:val="left" w:pos="5400"/>
              </w:tabs>
              <w:jc w:val="center"/>
              <w:rPr>
                <w:sz w:val="18"/>
                <w:szCs w:val="18"/>
              </w:rPr>
            </w:pPr>
            <w:r w:rsidRPr="00342D51">
              <w:rPr>
                <w:sz w:val="18"/>
                <w:szCs w:val="18"/>
              </w:rPr>
              <w:t>22</w:t>
            </w:r>
          </w:p>
        </w:tc>
        <w:tc>
          <w:tcPr>
            <w:tcW w:w="8758" w:type="dxa"/>
            <w:vAlign w:val="center"/>
          </w:tcPr>
          <w:p w:rsidR="002E72E0" w:rsidRPr="00342D51" w:rsidRDefault="002E72E0" w:rsidP="002E72E0">
            <w:pPr>
              <w:tabs>
                <w:tab w:val="left" w:pos="5400"/>
              </w:tabs>
              <w:rPr>
                <w:sz w:val="18"/>
                <w:szCs w:val="18"/>
              </w:rPr>
            </w:pPr>
            <w:r w:rsidRPr="00342D51">
              <w:rPr>
                <w:sz w:val="18"/>
                <w:szCs w:val="18"/>
              </w:rPr>
              <w:t>Give the source of funding and the role of the funders for the present study and, if applicable, for the original study on which the present article is based</w:t>
            </w:r>
          </w:p>
        </w:tc>
        <w:tc>
          <w:tcPr>
            <w:tcW w:w="1316" w:type="dxa"/>
          </w:tcPr>
          <w:p w:rsidR="002E72E0" w:rsidRPr="00342D51" w:rsidRDefault="002E72E0" w:rsidP="002E72E0">
            <w:pPr>
              <w:rPr>
                <w:sz w:val="18"/>
                <w:szCs w:val="18"/>
              </w:rPr>
            </w:pPr>
            <w:r w:rsidRPr="00342D51">
              <w:rPr>
                <w:rFonts w:eastAsia="Arial"/>
                <w:sz w:val="18"/>
                <w:szCs w:val="18"/>
              </w:rPr>
              <w:t>Declarations—Funding</w:t>
            </w:r>
          </w:p>
        </w:tc>
        <w:tc>
          <w:tcPr>
            <w:tcW w:w="3155" w:type="dxa"/>
            <w:vAlign w:val="center"/>
          </w:tcPr>
          <w:p w:rsidR="002E72E0" w:rsidRPr="00342D51" w:rsidRDefault="002E72E0" w:rsidP="002E72E0">
            <w:pPr>
              <w:rPr>
                <w:sz w:val="18"/>
                <w:szCs w:val="18"/>
              </w:rPr>
            </w:pPr>
            <w:r w:rsidRPr="00342D51">
              <w:rPr>
                <w:sz w:val="18"/>
                <w:szCs w:val="18"/>
              </w:rPr>
              <w:t>The manuscript states that this research did not receive any specific grant from funding agencies in the public, commercial or not-for-profit sectors.</w:t>
            </w:r>
          </w:p>
        </w:tc>
      </w:tr>
      <w:bookmarkEnd w:id="94"/>
      <w:bookmarkEnd w:id="95"/>
    </w:tbl>
    <w:p w:rsidR="002602FB" w:rsidRPr="00342D51" w:rsidRDefault="002602FB" w:rsidP="0022554A">
      <w:pPr>
        <w:pStyle w:val="TableNote"/>
        <w:tabs>
          <w:tab w:val="left" w:pos="5400"/>
        </w:tabs>
        <w:rPr>
          <w:bCs/>
          <w:sz w:val="18"/>
          <w:szCs w:val="18"/>
        </w:rPr>
      </w:pPr>
    </w:p>
    <w:p w:rsidR="00D87AF7" w:rsidRPr="00342D51" w:rsidRDefault="00D87AF7" w:rsidP="0022554A">
      <w:pPr>
        <w:pStyle w:val="TableNote"/>
        <w:tabs>
          <w:tab w:val="left" w:pos="5400"/>
        </w:tabs>
        <w:rPr>
          <w:sz w:val="18"/>
          <w:szCs w:val="18"/>
        </w:rPr>
      </w:pPr>
      <w:r w:rsidRPr="00342D51">
        <w:rPr>
          <w:bCs/>
          <w:sz w:val="18"/>
          <w:szCs w:val="18"/>
        </w:rPr>
        <w:t>*</w:t>
      </w:r>
      <w:r w:rsidRPr="00342D51">
        <w:rPr>
          <w:sz w:val="18"/>
          <w:szCs w:val="18"/>
        </w:rPr>
        <w:t xml:space="preserve">Give information separately for cases and controls in case-control studies and, if applicable, for exposed and unexposed groups in cohort and </w:t>
      </w:r>
      <w:r w:rsidR="004A32C8" w:rsidRPr="00342D51">
        <w:rPr>
          <w:sz w:val="18"/>
          <w:szCs w:val="18"/>
        </w:rPr>
        <w:t>cross-sectional</w:t>
      </w:r>
      <w:r w:rsidRPr="00342D51">
        <w:rPr>
          <w:sz w:val="18"/>
          <w:szCs w:val="18"/>
        </w:rPr>
        <w:t xml:space="preserve"> studies.</w:t>
      </w:r>
    </w:p>
    <w:p w:rsidR="00AE2C57" w:rsidRPr="00342D51" w:rsidRDefault="00AE2C57" w:rsidP="0022554A">
      <w:pPr>
        <w:pStyle w:val="TableNote"/>
        <w:tabs>
          <w:tab w:val="left" w:pos="5400"/>
        </w:tabs>
        <w:rPr>
          <w:sz w:val="18"/>
          <w:szCs w:val="18"/>
        </w:rPr>
      </w:pPr>
    </w:p>
    <w:p w:rsidR="00A42352" w:rsidRPr="00342D51" w:rsidRDefault="002602FB" w:rsidP="002602FB">
      <w:pPr>
        <w:pStyle w:val="TableNote"/>
        <w:tabs>
          <w:tab w:val="left" w:pos="5400"/>
        </w:tabs>
        <w:rPr>
          <w:sz w:val="18"/>
          <w:szCs w:val="18"/>
        </w:rPr>
      </w:pPr>
      <w:r w:rsidRPr="00342D51">
        <w:rPr>
          <w:b/>
          <w:sz w:val="18"/>
          <w:szCs w:val="18"/>
        </w:rPr>
        <w:t>Note:</w:t>
      </w:r>
      <w:r w:rsidRPr="00342D51">
        <w:rPr>
          <w:sz w:val="18"/>
          <w:szCs w:val="18"/>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www.strobe-statement.org.</w:t>
      </w:r>
    </w:p>
    <w:p w:rsidR="009F17F4" w:rsidRPr="00342D51" w:rsidRDefault="009F17F4" w:rsidP="009F17F4">
      <w:pPr>
        <w:rPr>
          <w:rFonts w:eastAsia="Arial"/>
          <w:b/>
          <w:sz w:val="18"/>
          <w:szCs w:val="18"/>
        </w:rPr>
      </w:pPr>
      <w:r w:rsidRPr="00342D51">
        <w:rPr>
          <w:rFonts w:eastAsia="Arial"/>
          <w:b/>
          <w:sz w:val="18"/>
          <w:szCs w:val="18"/>
        </w:rPr>
        <w:t>Study registration note: The manuscript states in Methods—Study design and participants that the study was not prospectively registered.</w:t>
      </w:r>
    </w:p>
    <w:p w:rsidR="00993FB7" w:rsidRPr="00342D51" w:rsidRDefault="00993FB7" w:rsidP="009F17F4">
      <w:pPr>
        <w:rPr>
          <w:sz w:val="18"/>
          <w:szCs w:val="18"/>
        </w:rPr>
      </w:pPr>
    </w:p>
    <w:sectPr w:rsidR="00993FB7" w:rsidRPr="00342D51" w:rsidSect="00191A23">
      <w:footerReference w:type="even" r:id="rId7"/>
      <w:footerReference w:type="default" r:id="rId8"/>
      <w:pgSz w:w="16834" w:h="11909" w:orient="landscape"/>
      <w:pgMar w:top="1134" w:right="1134" w:bottom="1134"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40C0A" w:rsidRDefault="00940C0A">
      <w:r>
        <w:separator/>
      </w:r>
    </w:p>
  </w:endnote>
  <w:endnote w:type="continuationSeparator" w:id="0">
    <w:p w:rsidR="00940C0A" w:rsidRDefault="00940C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13C96" w:rsidRDefault="00A13C96" w:rsidP="00A13C96">
    <w:pPr>
      <w:pStyle w:val="AltBilgi"/>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rsidR="00A13C96" w:rsidRDefault="00A13C96" w:rsidP="005D0CFC">
    <w:pPr>
      <w:pStyle w:val="AltBilgi"/>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13C96" w:rsidRDefault="00A13C96" w:rsidP="007F7FA0">
    <w:pPr>
      <w:pStyle w:val="AltBilgi"/>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separate"/>
    </w:r>
    <w:r w:rsidR="00CA489B">
      <w:rPr>
        <w:rStyle w:val="SayfaNumaras"/>
        <w:noProof/>
      </w:rPr>
      <w:t>3</w:t>
    </w:r>
    <w:r>
      <w:rPr>
        <w:rStyle w:val="SayfaNumaras"/>
      </w:rPr>
      <w:fldChar w:fldCharType="end"/>
    </w:r>
  </w:p>
  <w:p w:rsidR="00A13C96" w:rsidRDefault="00A13C96" w:rsidP="005D0CFC">
    <w:pPr>
      <w:pStyle w:val="AltBilgi"/>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40C0A" w:rsidRDefault="00940C0A">
      <w:r>
        <w:separator/>
      </w:r>
    </w:p>
  </w:footnote>
  <w:footnote w:type="continuationSeparator" w:id="0">
    <w:p w:rsidR="00940C0A" w:rsidRDefault="00940C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361C54"/>
    <w:lvl w:ilvl="0">
      <w:start w:val="1"/>
      <w:numFmt w:val="decimal"/>
      <w:pStyle w:val="ListeNumaras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eNumaras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eNumaras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eNumaras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eMaddemi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eMaddemi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eMaddemi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eMaddemi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eNumaras"/>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eMaddemi"/>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Balk2"/>
      <w:lvlText w:val="%2."/>
      <w:lvlJc w:val="left"/>
      <w:pPr>
        <w:tabs>
          <w:tab w:val="num" w:pos="1080"/>
        </w:tabs>
        <w:ind w:left="720" w:firstLine="0"/>
      </w:pPr>
    </w:lvl>
    <w:lvl w:ilvl="2">
      <w:start w:val="1"/>
      <w:numFmt w:val="decimal"/>
      <w:pStyle w:val="Balk3"/>
      <w:lvlText w:val="%3."/>
      <w:lvlJc w:val="left"/>
      <w:pPr>
        <w:tabs>
          <w:tab w:val="num" w:pos="1800"/>
        </w:tabs>
        <w:ind w:left="1440" w:firstLine="0"/>
      </w:pPr>
    </w:lvl>
    <w:lvl w:ilvl="3">
      <w:start w:val="1"/>
      <w:numFmt w:val="lowerLetter"/>
      <w:pStyle w:val="Balk4"/>
      <w:lvlText w:val="%4)"/>
      <w:lvlJc w:val="left"/>
      <w:pPr>
        <w:tabs>
          <w:tab w:val="num" w:pos="2520"/>
        </w:tabs>
        <w:ind w:left="2160" w:firstLine="0"/>
      </w:pPr>
    </w:lvl>
    <w:lvl w:ilvl="4">
      <w:start w:val="1"/>
      <w:numFmt w:val="decimal"/>
      <w:pStyle w:val="Balk5"/>
      <w:lvlText w:val="(%5)"/>
      <w:lvlJc w:val="left"/>
      <w:pPr>
        <w:tabs>
          <w:tab w:val="num" w:pos="3240"/>
        </w:tabs>
        <w:ind w:left="2880" w:firstLine="0"/>
      </w:pPr>
    </w:lvl>
    <w:lvl w:ilvl="5">
      <w:start w:val="1"/>
      <w:numFmt w:val="lowerLetter"/>
      <w:pStyle w:val="Balk6"/>
      <w:lvlText w:val="(%6)"/>
      <w:lvlJc w:val="left"/>
      <w:pPr>
        <w:tabs>
          <w:tab w:val="num" w:pos="3960"/>
        </w:tabs>
        <w:ind w:left="3600" w:firstLine="0"/>
      </w:pPr>
    </w:lvl>
    <w:lvl w:ilvl="6">
      <w:start w:val="1"/>
      <w:numFmt w:val="lowerRoman"/>
      <w:pStyle w:val="Balk7"/>
      <w:lvlText w:val="(%7)"/>
      <w:lvlJc w:val="left"/>
      <w:pPr>
        <w:tabs>
          <w:tab w:val="num" w:pos="4680"/>
        </w:tabs>
        <w:ind w:left="4320" w:firstLine="0"/>
      </w:pPr>
    </w:lvl>
    <w:lvl w:ilvl="7">
      <w:start w:val="1"/>
      <w:numFmt w:val="lowerLetter"/>
      <w:pStyle w:val="Balk8"/>
      <w:lvlText w:val="(%8)"/>
      <w:lvlJc w:val="left"/>
      <w:pPr>
        <w:tabs>
          <w:tab w:val="num" w:pos="5400"/>
        </w:tabs>
        <w:ind w:left="5040" w:firstLine="0"/>
      </w:pPr>
    </w:lvl>
    <w:lvl w:ilvl="8">
      <w:start w:val="1"/>
      <w:numFmt w:val="lowerRoman"/>
      <w:pStyle w:val="Balk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366683068">
    <w:abstractNumId w:val="20"/>
  </w:num>
  <w:num w:numId="2" w16cid:durableId="1657759551">
    <w:abstractNumId w:val="11"/>
  </w:num>
  <w:num w:numId="3" w16cid:durableId="2115441439">
    <w:abstractNumId w:val="18"/>
  </w:num>
  <w:num w:numId="4" w16cid:durableId="415716034">
    <w:abstractNumId w:val="16"/>
  </w:num>
  <w:num w:numId="5" w16cid:durableId="1389301238">
    <w:abstractNumId w:val="15"/>
  </w:num>
  <w:num w:numId="6" w16cid:durableId="812407462">
    <w:abstractNumId w:val="19"/>
  </w:num>
  <w:num w:numId="7" w16cid:durableId="814033581">
    <w:abstractNumId w:val="10"/>
  </w:num>
  <w:num w:numId="8" w16cid:durableId="1437211626">
    <w:abstractNumId w:val="13"/>
  </w:num>
  <w:num w:numId="9" w16cid:durableId="1076395903">
    <w:abstractNumId w:val="9"/>
  </w:num>
  <w:num w:numId="10" w16cid:durableId="834417808">
    <w:abstractNumId w:val="14"/>
  </w:num>
  <w:num w:numId="11" w16cid:durableId="897783370">
    <w:abstractNumId w:val="7"/>
  </w:num>
  <w:num w:numId="12" w16cid:durableId="852762995">
    <w:abstractNumId w:val="6"/>
  </w:num>
  <w:num w:numId="13" w16cid:durableId="48388616">
    <w:abstractNumId w:val="5"/>
  </w:num>
  <w:num w:numId="14" w16cid:durableId="1714690586">
    <w:abstractNumId w:val="4"/>
  </w:num>
  <w:num w:numId="15" w16cid:durableId="1148743217">
    <w:abstractNumId w:val="8"/>
  </w:num>
  <w:num w:numId="16" w16cid:durableId="1806267571">
    <w:abstractNumId w:val="3"/>
  </w:num>
  <w:num w:numId="17" w16cid:durableId="1801725437">
    <w:abstractNumId w:val="2"/>
  </w:num>
  <w:num w:numId="18" w16cid:durableId="18942234">
    <w:abstractNumId w:val="1"/>
  </w:num>
  <w:num w:numId="19" w16cid:durableId="824588629">
    <w:abstractNumId w:val="0"/>
  </w:num>
  <w:num w:numId="20" w16cid:durableId="1879321078">
    <w:abstractNumId w:val="12"/>
  </w:num>
  <w:num w:numId="21" w16cid:durableId="213621691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ABE"/>
    <w:rsid w:val="00002974"/>
    <w:rsid w:val="00005F0F"/>
    <w:rsid w:val="00023515"/>
    <w:rsid w:val="00093E3A"/>
    <w:rsid w:val="000B6FD4"/>
    <w:rsid w:val="000E3193"/>
    <w:rsid w:val="000E691B"/>
    <w:rsid w:val="000F26ED"/>
    <w:rsid w:val="00110BFB"/>
    <w:rsid w:val="00134AAC"/>
    <w:rsid w:val="00135966"/>
    <w:rsid w:val="00191A23"/>
    <w:rsid w:val="001A495C"/>
    <w:rsid w:val="001A75E9"/>
    <w:rsid w:val="001E02AD"/>
    <w:rsid w:val="0021265E"/>
    <w:rsid w:val="00215E03"/>
    <w:rsid w:val="00224268"/>
    <w:rsid w:val="0022554A"/>
    <w:rsid w:val="00226A29"/>
    <w:rsid w:val="00230098"/>
    <w:rsid w:val="002552FD"/>
    <w:rsid w:val="002602FB"/>
    <w:rsid w:val="002B385C"/>
    <w:rsid w:val="002C731D"/>
    <w:rsid w:val="002D06D0"/>
    <w:rsid w:val="002D1ABE"/>
    <w:rsid w:val="002E72E0"/>
    <w:rsid w:val="002F1A87"/>
    <w:rsid w:val="00332244"/>
    <w:rsid w:val="003354B7"/>
    <w:rsid w:val="00342D51"/>
    <w:rsid w:val="003508EF"/>
    <w:rsid w:val="00372129"/>
    <w:rsid w:val="00385050"/>
    <w:rsid w:val="003A3FDD"/>
    <w:rsid w:val="003B64A0"/>
    <w:rsid w:val="00404D2C"/>
    <w:rsid w:val="004060E6"/>
    <w:rsid w:val="00407BEA"/>
    <w:rsid w:val="004243C8"/>
    <w:rsid w:val="0045419E"/>
    <w:rsid w:val="0045734B"/>
    <w:rsid w:val="00465542"/>
    <w:rsid w:val="00472DF5"/>
    <w:rsid w:val="00484F0D"/>
    <w:rsid w:val="00495204"/>
    <w:rsid w:val="004A31B3"/>
    <w:rsid w:val="004A32C8"/>
    <w:rsid w:val="004E1263"/>
    <w:rsid w:val="005044A6"/>
    <w:rsid w:val="00517788"/>
    <w:rsid w:val="00590F64"/>
    <w:rsid w:val="005923E5"/>
    <w:rsid w:val="005B567D"/>
    <w:rsid w:val="005D0CFC"/>
    <w:rsid w:val="005D19F4"/>
    <w:rsid w:val="005F254A"/>
    <w:rsid w:val="006149D3"/>
    <w:rsid w:val="0065657F"/>
    <w:rsid w:val="00666336"/>
    <w:rsid w:val="0067756A"/>
    <w:rsid w:val="00683E42"/>
    <w:rsid w:val="006A2F18"/>
    <w:rsid w:val="006A5DD9"/>
    <w:rsid w:val="006B2915"/>
    <w:rsid w:val="006B56D7"/>
    <w:rsid w:val="006C0B63"/>
    <w:rsid w:val="006C70F1"/>
    <w:rsid w:val="006C7601"/>
    <w:rsid w:val="006D16AA"/>
    <w:rsid w:val="006F66AC"/>
    <w:rsid w:val="00701AC5"/>
    <w:rsid w:val="00711D81"/>
    <w:rsid w:val="0074576C"/>
    <w:rsid w:val="00754BA5"/>
    <w:rsid w:val="007562C3"/>
    <w:rsid w:val="007C72F6"/>
    <w:rsid w:val="007C7C3B"/>
    <w:rsid w:val="007F7FA0"/>
    <w:rsid w:val="00816966"/>
    <w:rsid w:val="00817D26"/>
    <w:rsid w:val="00821CD4"/>
    <w:rsid w:val="008423A7"/>
    <w:rsid w:val="008440CC"/>
    <w:rsid w:val="0089107E"/>
    <w:rsid w:val="00891604"/>
    <w:rsid w:val="008D225B"/>
    <w:rsid w:val="00921BF8"/>
    <w:rsid w:val="00934427"/>
    <w:rsid w:val="009367F9"/>
    <w:rsid w:val="00940C0A"/>
    <w:rsid w:val="009642BE"/>
    <w:rsid w:val="00976EE1"/>
    <w:rsid w:val="009872CC"/>
    <w:rsid w:val="00993FB7"/>
    <w:rsid w:val="009B10F1"/>
    <w:rsid w:val="009B368D"/>
    <w:rsid w:val="009C24D4"/>
    <w:rsid w:val="009E0429"/>
    <w:rsid w:val="009F17F4"/>
    <w:rsid w:val="009F5211"/>
    <w:rsid w:val="00A12DD2"/>
    <w:rsid w:val="00A13C96"/>
    <w:rsid w:val="00A42352"/>
    <w:rsid w:val="00A527E4"/>
    <w:rsid w:val="00A5640D"/>
    <w:rsid w:val="00A729D6"/>
    <w:rsid w:val="00A938BF"/>
    <w:rsid w:val="00AB7BC4"/>
    <w:rsid w:val="00AE23EB"/>
    <w:rsid w:val="00AE2C57"/>
    <w:rsid w:val="00AF4615"/>
    <w:rsid w:val="00B50DF8"/>
    <w:rsid w:val="00B54EA0"/>
    <w:rsid w:val="00B60EFB"/>
    <w:rsid w:val="00B65366"/>
    <w:rsid w:val="00B77807"/>
    <w:rsid w:val="00B940E9"/>
    <w:rsid w:val="00BA1206"/>
    <w:rsid w:val="00BB4896"/>
    <w:rsid w:val="00BC7FE6"/>
    <w:rsid w:val="00BE3709"/>
    <w:rsid w:val="00C56BBE"/>
    <w:rsid w:val="00CA489B"/>
    <w:rsid w:val="00CB6CC8"/>
    <w:rsid w:val="00CC4C93"/>
    <w:rsid w:val="00D120D2"/>
    <w:rsid w:val="00D20D7C"/>
    <w:rsid w:val="00D26FCA"/>
    <w:rsid w:val="00D6407C"/>
    <w:rsid w:val="00D87AF7"/>
    <w:rsid w:val="00DA120C"/>
    <w:rsid w:val="00DC0B8E"/>
    <w:rsid w:val="00DC4BEF"/>
    <w:rsid w:val="00E10628"/>
    <w:rsid w:val="00E144CD"/>
    <w:rsid w:val="00E2292B"/>
    <w:rsid w:val="00E341E9"/>
    <w:rsid w:val="00EA5025"/>
    <w:rsid w:val="00EA6E28"/>
    <w:rsid w:val="00F0752A"/>
    <w:rsid w:val="00F378D0"/>
    <w:rsid w:val="00F76A7F"/>
    <w:rsid w:val="00F838E1"/>
    <w:rsid w:val="00F842DC"/>
    <w:rsid w:val="00F876FF"/>
    <w:rsid w:val="00F93A89"/>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5C023AB-AF00-7F49-BDEA-11459C844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Balk1">
    <w:name w:val="heading 1"/>
    <w:basedOn w:val="Normal"/>
    <w:next w:val="Normal"/>
    <w:qFormat/>
    <w:rsid w:val="000B6FD4"/>
    <w:pPr>
      <w:keepNext/>
      <w:spacing w:before="240" w:after="60"/>
      <w:outlineLvl w:val="0"/>
    </w:pPr>
    <w:rPr>
      <w:rFonts w:ascii="Arial" w:hAnsi="Arial"/>
      <w:b/>
      <w:bCs/>
      <w:kern w:val="32"/>
      <w:sz w:val="32"/>
      <w:szCs w:val="32"/>
    </w:rPr>
  </w:style>
  <w:style w:type="paragraph" w:styleId="Balk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Balk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Balk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Balk5">
    <w:name w:val="heading 5"/>
    <w:basedOn w:val="Normal"/>
    <w:next w:val="Normal"/>
    <w:qFormat/>
    <w:rsid w:val="000B6FD4"/>
    <w:pPr>
      <w:numPr>
        <w:ilvl w:val="4"/>
        <w:numId w:val="5"/>
      </w:numPr>
      <w:spacing w:before="240" w:after="60" w:line="240" w:lineRule="auto"/>
      <w:outlineLvl w:val="4"/>
    </w:pPr>
    <w:rPr>
      <w:sz w:val="22"/>
    </w:rPr>
  </w:style>
  <w:style w:type="paragraph" w:styleId="Balk6">
    <w:name w:val="heading 6"/>
    <w:basedOn w:val="Normal"/>
    <w:next w:val="Normal"/>
    <w:qFormat/>
    <w:rsid w:val="000B6FD4"/>
    <w:pPr>
      <w:numPr>
        <w:ilvl w:val="5"/>
        <w:numId w:val="5"/>
      </w:numPr>
      <w:spacing w:before="240" w:after="60" w:line="240" w:lineRule="auto"/>
      <w:outlineLvl w:val="5"/>
    </w:pPr>
    <w:rPr>
      <w:i/>
      <w:sz w:val="22"/>
    </w:rPr>
  </w:style>
  <w:style w:type="paragraph" w:styleId="Balk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Balk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Balk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Girintisi">
    <w:name w:val="Body Text Indent"/>
    <w:basedOn w:val="Normal"/>
    <w:rsid w:val="000B6FD4"/>
    <w:pPr>
      <w:spacing w:after="120"/>
      <w:ind w:left="283"/>
    </w:pPr>
  </w:style>
  <w:style w:type="paragraph" w:styleId="BalonMetni">
    <w:name w:val="Balloon Text"/>
    <w:basedOn w:val="Normal"/>
    <w:semiHidden/>
    <w:rsid w:val="008D225B"/>
    <w:rPr>
      <w:rFonts w:ascii="Tahoma" w:hAnsi="Tahoma" w:cs="Tahoma"/>
      <w:sz w:val="16"/>
      <w:szCs w:val="16"/>
    </w:rPr>
  </w:style>
  <w:style w:type="paragraph" w:styleId="AltBilgi">
    <w:name w:val="footer"/>
    <w:basedOn w:val="Normal"/>
    <w:rsid w:val="000B6FD4"/>
    <w:pPr>
      <w:tabs>
        <w:tab w:val="center" w:pos="4153"/>
        <w:tab w:val="right" w:pos="8306"/>
      </w:tabs>
      <w:spacing w:line="240" w:lineRule="auto"/>
    </w:pPr>
    <w:rPr>
      <w:rFonts w:ascii="Arial" w:hAnsi="Arial"/>
      <w:sz w:val="20"/>
    </w:rPr>
  </w:style>
  <w:style w:type="character" w:styleId="SayfaNumaras">
    <w:name w:val="page number"/>
    <w:basedOn w:val="VarsaylanParagrafYazTipi"/>
    <w:rsid w:val="000B6FD4"/>
  </w:style>
  <w:style w:type="paragraph" w:styleId="stBilgi">
    <w:name w:val="header"/>
    <w:basedOn w:val="Normal"/>
    <w:rsid w:val="000B6FD4"/>
    <w:pPr>
      <w:tabs>
        <w:tab w:val="center" w:pos="4153"/>
        <w:tab w:val="right" w:pos="8306"/>
      </w:tabs>
      <w:spacing w:line="240" w:lineRule="auto"/>
    </w:pPr>
    <w:rPr>
      <w:sz w:val="18"/>
    </w:rPr>
  </w:style>
  <w:style w:type="paragraph" w:styleId="DipnotMetni">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DzMetin">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ResimYazs">
    <w:name w:val="caption"/>
    <w:basedOn w:val="Normal"/>
    <w:next w:val="Normal"/>
    <w:qFormat/>
    <w:rsid w:val="000B6FD4"/>
    <w:pPr>
      <w:spacing w:before="120" w:after="120" w:line="240" w:lineRule="auto"/>
    </w:pPr>
    <w:rPr>
      <w:b/>
      <w:sz w:val="20"/>
    </w:rPr>
  </w:style>
  <w:style w:type="paragraph" w:styleId="AklamaMetni">
    <w:name w:val="annotation text"/>
    <w:basedOn w:val="Normal"/>
    <w:semiHidden/>
    <w:rsid w:val="000B6FD4"/>
    <w:pPr>
      <w:spacing w:line="240" w:lineRule="auto"/>
    </w:pPr>
    <w:rPr>
      <w:sz w:val="20"/>
    </w:rPr>
  </w:style>
  <w:style w:type="paragraph" w:styleId="bekMetni">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ResimYazs"/>
    <w:rsid w:val="000B6FD4"/>
    <w:rPr>
      <w:sz w:val="18"/>
    </w:rPr>
  </w:style>
  <w:style w:type="paragraph" w:styleId="Tarih">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GvdeMetni">
    <w:name w:val="Body Text"/>
    <w:basedOn w:val="Normal"/>
    <w:rsid w:val="000B6FD4"/>
    <w:pPr>
      <w:spacing w:after="120"/>
    </w:pPr>
  </w:style>
  <w:style w:type="character" w:styleId="SonNotBavurusu">
    <w:name w:val="endnote reference"/>
    <w:basedOn w:val="VarsaylanParagrafYazTipi"/>
    <w:semiHidden/>
    <w:rsid w:val="000B6FD4"/>
    <w:rPr>
      <w:vertAlign w:val="superscript"/>
    </w:rPr>
  </w:style>
  <w:style w:type="paragraph" w:styleId="SonNotMetni">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VarsaylanParagrafYazTipi"/>
    <w:rsid w:val="000B6FD4"/>
    <w:rPr>
      <w:color w:val="0000FF"/>
      <w:vertAlign w:val="superscript"/>
    </w:rPr>
  </w:style>
  <w:style w:type="character" w:customStyle="1" w:styleId="FnoteRef">
    <w:name w:val="FnoteRef"/>
    <w:basedOn w:val="VarsaylanParagrafYazTipi"/>
    <w:rsid w:val="000B6FD4"/>
    <w:rPr>
      <w:color w:val="FF0000"/>
      <w:vertAlign w:val="superscript"/>
    </w:rPr>
  </w:style>
  <w:style w:type="paragraph" w:customStyle="1" w:styleId="Footnote">
    <w:name w:val="Footnote"/>
    <w:basedOn w:val="Normal"/>
    <w:rsid w:val="000B6FD4"/>
    <w:pPr>
      <w:spacing w:line="240" w:lineRule="auto"/>
    </w:pPr>
  </w:style>
  <w:style w:type="character" w:styleId="DipnotBavurusu">
    <w:name w:val="footnote reference"/>
    <w:basedOn w:val="VarsaylanParagrafYazTipi"/>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KonuBal"/>
    <w:next w:val="KonuBal"/>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GvdeMetni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eMaddemi">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GvdeMetni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KonuBal">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Vurgu">
    <w:name w:val="Emphasis"/>
    <w:basedOn w:val="VarsaylanParagrafYazTipi"/>
    <w:qFormat/>
    <w:rsid w:val="000B6FD4"/>
    <w:rPr>
      <w:i/>
      <w:iCs/>
    </w:rPr>
  </w:style>
  <w:style w:type="paragraph" w:customStyle="1" w:styleId="GroupAuthor">
    <w:name w:val="GroupAuthor"/>
    <w:basedOn w:val="Author"/>
    <w:rsid w:val="000B6FD4"/>
    <w:rPr>
      <w:b/>
      <w:i/>
    </w:rPr>
  </w:style>
  <w:style w:type="character" w:styleId="AklamaBavurusu">
    <w:name w:val="annotation reference"/>
    <w:basedOn w:val="VarsaylanParagrafYazTipi"/>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GvdeMetnilkGirintisi">
    <w:name w:val="Body Text First Indent"/>
    <w:basedOn w:val="GvdeMetni"/>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elamlama">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Altyaz">
    <w:name w:val="Subtitle"/>
    <w:basedOn w:val="Normal"/>
    <w:qFormat/>
    <w:rsid w:val="000B6FD4"/>
    <w:pPr>
      <w:spacing w:after="60"/>
      <w:outlineLvl w:val="1"/>
    </w:pPr>
    <w:rPr>
      <w:i/>
    </w:rPr>
  </w:style>
  <w:style w:type="paragraph" w:customStyle="1" w:styleId="Subtitle1">
    <w:name w:val="Subtitle1"/>
    <w:basedOn w:val="Altyaz"/>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VarsaylanParagrafYazTipi"/>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VarsaylanParagrafYazTipi"/>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VarsaylanParagrafYazTipi"/>
    <w:rsid w:val="000B6FD4"/>
    <w:rPr>
      <w:color w:val="0000FF"/>
      <w:vertAlign w:val="superscript"/>
    </w:rPr>
  </w:style>
  <w:style w:type="paragraph" w:styleId="GvdeMetnilkGirintisi2">
    <w:name w:val="Body Text First Indent 2"/>
    <w:basedOn w:val="GvdeMetniGirintisi"/>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GvdeMetniGirintisi2">
    <w:name w:val="Body Text Indent 2"/>
    <w:basedOn w:val="Normal"/>
    <w:rsid w:val="000B6FD4"/>
    <w:pPr>
      <w:spacing w:after="120" w:line="480" w:lineRule="auto"/>
      <w:ind w:left="283"/>
    </w:pPr>
  </w:style>
  <w:style w:type="paragraph" w:styleId="GvdeMetniGirintisi3">
    <w:name w:val="Body Text Indent 3"/>
    <w:basedOn w:val="Normal"/>
    <w:rsid w:val="000B6FD4"/>
    <w:pPr>
      <w:spacing w:after="120"/>
      <w:ind w:left="283"/>
    </w:pPr>
    <w:rPr>
      <w:sz w:val="16"/>
      <w:szCs w:val="16"/>
    </w:rPr>
  </w:style>
  <w:style w:type="paragraph" w:styleId="Kapan">
    <w:name w:val="Closing"/>
    <w:basedOn w:val="Normal"/>
    <w:rsid w:val="000B6FD4"/>
    <w:pPr>
      <w:ind w:left="4252"/>
    </w:pPr>
  </w:style>
  <w:style w:type="paragraph" w:styleId="BelgeBalantlar">
    <w:name w:val="Document Map"/>
    <w:basedOn w:val="Normal"/>
    <w:semiHidden/>
    <w:rsid w:val="000B6FD4"/>
    <w:pPr>
      <w:shd w:val="clear" w:color="auto" w:fill="000080"/>
    </w:pPr>
    <w:rPr>
      <w:rFonts w:ascii="Tahoma" w:hAnsi="Tahoma" w:cs="Tahoma"/>
    </w:rPr>
  </w:style>
  <w:style w:type="paragraph" w:styleId="E-postamzas">
    <w:name w:val="E-mail Signature"/>
    <w:basedOn w:val="Normal"/>
    <w:rsid w:val="000B6FD4"/>
  </w:style>
  <w:style w:type="paragraph" w:styleId="MektupAdresi">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ZarfDn">
    <w:name w:val="envelope return"/>
    <w:basedOn w:val="Normal"/>
    <w:rsid w:val="000B6FD4"/>
    <w:rPr>
      <w:rFonts w:ascii="Arial" w:hAnsi="Arial"/>
      <w:sz w:val="20"/>
    </w:rPr>
  </w:style>
  <w:style w:type="character" w:styleId="zlenenKpr">
    <w:name w:val="FollowedHyperlink"/>
    <w:basedOn w:val="VarsaylanParagrafYazTipi"/>
    <w:rsid w:val="000B6FD4"/>
    <w:rPr>
      <w:color w:val="800080"/>
      <w:u w:val="single"/>
    </w:rPr>
  </w:style>
  <w:style w:type="character" w:styleId="HTMLKsaltmas">
    <w:name w:val="HTML Acronym"/>
    <w:basedOn w:val="VarsaylanParagrafYazTipi"/>
    <w:rsid w:val="000B6FD4"/>
  </w:style>
  <w:style w:type="paragraph" w:styleId="HTMLAdresi">
    <w:name w:val="HTML Address"/>
    <w:basedOn w:val="Normal"/>
    <w:rsid w:val="000B6FD4"/>
    <w:rPr>
      <w:i/>
      <w:iCs/>
    </w:rPr>
  </w:style>
  <w:style w:type="character" w:styleId="HTMLCite">
    <w:name w:val="HTML Cite"/>
    <w:basedOn w:val="VarsaylanParagrafYazTipi"/>
    <w:rsid w:val="000B6FD4"/>
    <w:rPr>
      <w:i/>
      <w:iCs/>
    </w:rPr>
  </w:style>
  <w:style w:type="character" w:styleId="HTMLKodu">
    <w:name w:val="HTML Code"/>
    <w:basedOn w:val="VarsaylanParagrafYazTipi"/>
    <w:rsid w:val="000B6FD4"/>
    <w:rPr>
      <w:rFonts w:ascii="Courier New" w:hAnsi="Courier New"/>
      <w:sz w:val="20"/>
      <w:szCs w:val="20"/>
    </w:rPr>
  </w:style>
  <w:style w:type="character" w:styleId="HTMLTanm">
    <w:name w:val="HTML Definition"/>
    <w:basedOn w:val="VarsaylanParagrafYazTipi"/>
    <w:rsid w:val="000B6FD4"/>
    <w:rPr>
      <w:i/>
      <w:iCs/>
    </w:rPr>
  </w:style>
  <w:style w:type="character" w:styleId="HTMLKlavye">
    <w:name w:val="HTML Keyboard"/>
    <w:basedOn w:val="VarsaylanParagrafYazTipi"/>
    <w:rsid w:val="000B6FD4"/>
    <w:rPr>
      <w:rFonts w:ascii="Courier New" w:hAnsi="Courier New"/>
      <w:sz w:val="20"/>
      <w:szCs w:val="20"/>
    </w:rPr>
  </w:style>
  <w:style w:type="paragraph" w:styleId="HTMLncedenBiimlendirilmi">
    <w:name w:val="HTML Preformatted"/>
    <w:basedOn w:val="Normal"/>
    <w:rsid w:val="000B6FD4"/>
    <w:rPr>
      <w:rFonts w:ascii="Courier New" w:hAnsi="Courier New"/>
      <w:sz w:val="20"/>
    </w:rPr>
  </w:style>
  <w:style w:type="character" w:styleId="HTMLrnek">
    <w:name w:val="HTML Sample"/>
    <w:basedOn w:val="VarsaylanParagrafYazTipi"/>
    <w:rsid w:val="000B6FD4"/>
    <w:rPr>
      <w:rFonts w:ascii="Courier New" w:hAnsi="Courier New"/>
    </w:rPr>
  </w:style>
  <w:style w:type="character" w:styleId="HTMLDaktilo">
    <w:name w:val="HTML Typewriter"/>
    <w:basedOn w:val="VarsaylanParagrafYazTipi"/>
    <w:rsid w:val="000B6FD4"/>
    <w:rPr>
      <w:rFonts w:ascii="Courier New" w:hAnsi="Courier New"/>
      <w:sz w:val="20"/>
      <w:szCs w:val="20"/>
    </w:rPr>
  </w:style>
  <w:style w:type="character" w:styleId="HTMLDeiken">
    <w:name w:val="HTML Variable"/>
    <w:basedOn w:val="VarsaylanParagrafYazTipi"/>
    <w:rsid w:val="000B6FD4"/>
    <w:rPr>
      <w:i/>
      <w:iCs/>
    </w:rPr>
  </w:style>
  <w:style w:type="character" w:styleId="Kpr">
    <w:name w:val="Hyperlink"/>
    <w:basedOn w:val="VarsaylanParagrafYazTipi"/>
    <w:rsid w:val="000B6FD4"/>
    <w:rPr>
      <w:color w:val="0000FF"/>
      <w:u w:val="single"/>
    </w:rPr>
  </w:style>
  <w:style w:type="paragraph" w:styleId="Dizin1">
    <w:name w:val="index 1"/>
    <w:basedOn w:val="Normal"/>
    <w:next w:val="Normal"/>
    <w:autoRedefine/>
    <w:semiHidden/>
    <w:rsid w:val="000B6FD4"/>
    <w:pPr>
      <w:ind w:left="240" w:hanging="240"/>
    </w:pPr>
  </w:style>
  <w:style w:type="paragraph" w:styleId="Dizin2">
    <w:name w:val="index 2"/>
    <w:basedOn w:val="Normal"/>
    <w:next w:val="Normal"/>
    <w:autoRedefine/>
    <w:semiHidden/>
    <w:rsid w:val="000B6FD4"/>
    <w:pPr>
      <w:ind w:left="480" w:hanging="240"/>
    </w:pPr>
  </w:style>
  <w:style w:type="paragraph" w:styleId="Dizin3">
    <w:name w:val="index 3"/>
    <w:basedOn w:val="Normal"/>
    <w:next w:val="Normal"/>
    <w:autoRedefine/>
    <w:semiHidden/>
    <w:rsid w:val="000B6FD4"/>
    <w:pPr>
      <w:ind w:left="720" w:hanging="240"/>
    </w:pPr>
  </w:style>
  <w:style w:type="paragraph" w:styleId="Dizin4">
    <w:name w:val="index 4"/>
    <w:basedOn w:val="Normal"/>
    <w:next w:val="Normal"/>
    <w:autoRedefine/>
    <w:semiHidden/>
    <w:rsid w:val="000B6FD4"/>
    <w:pPr>
      <w:ind w:left="960" w:hanging="240"/>
    </w:pPr>
  </w:style>
  <w:style w:type="paragraph" w:styleId="Dizin5">
    <w:name w:val="index 5"/>
    <w:basedOn w:val="Normal"/>
    <w:next w:val="Normal"/>
    <w:autoRedefine/>
    <w:semiHidden/>
    <w:rsid w:val="000B6FD4"/>
    <w:pPr>
      <w:ind w:left="1200" w:hanging="240"/>
    </w:pPr>
  </w:style>
  <w:style w:type="paragraph" w:styleId="Dizin6">
    <w:name w:val="index 6"/>
    <w:basedOn w:val="Normal"/>
    <w:next w:val="Normal"/>
    <w:autoRedefine/>
    <w:semiHidden/>
    <w:rsid w:val="000B6FD4"/>
    <w:pPr>
      <w:ind w:left="1440" w:hanging="240"/>
    </w:pPr>
  </w:style>
  <w:style w:type="paragraph" w:styleId="Dizin7">
    <w:name w:val="index 7"/>
    <w:basedOn w:val="Normal"/>
    <w:next w:val="Normal"/>
    <w:autoRedefine/>
    <w:semiHidden/>
    <w:rsid w:val="000B6FD4"/>
    <w:pPr>
      <w:ind w:left="1680" w:hanging="240"/>
    </w:pPr>
  </w:style>
  <w:style w:type="paragraph" w:styleId="Dizin8">
    <w:name w:val="index 8"/>
    <w:basedOn w:val="Normal"/>
    <w:next w:val="Normal"/>
    <w:autoRedefine/>
    <w:semiHidden/>
    <w:rsid w:val="000B6FD4"/>
    <w:pPr>
      <w:ind w:left="1920" w:hanging="240"/>
    </w:pPr>
  </w:style>
  <w:style w:type="paragraph" w:styleId="Dizin9">
    <w:name w:val="index 9"/>
    <w:basedOn w:val="Normal"/>
    <w:next w:val="Normal"/>
    <w:autoRedefine/>
    <w:semiHidden/>
    <w:rsid w:val="000B6FD4"/>
    <w:pPr>
      <w:ind w:left="2160" w:hanging="240"/>
    </w:pPr>
  </w:style>
  <w:style w:type="paragraph" w:styleId="DizinBal">
    <w:name w:val="index heading"/>
    <w:basedOn w:val="Normal"/>
    <w:next w:val="Dizin1"/>
    <w:semiHidden/>
    <w:rsid w:val="000B6FD4"/>
    <w:rPr>
      <w:rFonts w:ascii="Arial" w:hAnsi="Arial"/>
      <w:b/>
      <w:bCs/>
    </w:rPr>
  </w:style>
  <w:style w:type="character" w:styleId="SatrNumaras">
    <w:name w:val="line number"/>
    <w:basedOn w:val="VarsaylanParagrafYazTipi"/>
    <w:rsid w:val="000B6FD4"/>
  </w:style>
  <w:style w:type="paragraph" w:styleId="Liste">
    <w:name w:val="List"/>
    <w:basedOn w:val="Normal"/>
    <w:rsid w:val="000B6FD4"/>
    <w:pPr>
      <w:ind w:left="283" w:hanging="283"/>
    </w:pPr>
  </w:style>
  <w:style w:type="paragraph" w:styleId="Liste2">
    <w:name w:val="List 2"/>
    <w:basedOn w:val="Normal"/>
    <w:rsid w:val="000B6FD4"/>
    <w:pPr>
      <w:ind w:left="566" w:hanging="283"/>
    </w:pPr>
  </w:style>
  <w:style w:type="paragraph" w:styleId="Liste3">
    <w:name w:val="List 3"/>
    <w:basedOn w:val="Normal"/>
    <w:rsid w:val="000B6FD4"/>
    <w:pPr>
      <w:ind w:left="849" w:hanging="283"/>
    </w:pPr>
  </w:style>
  <w:style w:type="paragraph" w:styleId="Liste4">
    <w:name w:val="List 4"/>
    <w:basedOn w:val="Normal"/>
    <w:rsid w:val="000B6FD4"/>
    <w:pPr>
      <w:ind w:left="1132" w:hanging="283"/>
    </w:pPr>
  </w:style>
  <w:style w:type="paragraph" w:styleId="Liste5">
    <w:name w:val="List 5"/>
    <w:basedOn w:val="Normal"/>
    <w:rsid w:val="000B6FD4"/>
    <w:pPr>
      <w:ind w:left="1415" w:hanging="283"/>
    </w:pPr>
  </w:style>
  <w:style w:type="paragraph" w:styleId="ListeMaddemi2">
    <w:name w:val="List Bullet 2"/>
    <w:basedOn w:val="Normal"/>
    <w:autoRedefine/>
    <w:rsid w:val="000B6FD4"/>
    <w:pPr>
      <w:numPr>
        <w:numId w:val="11"/>
      </w:numPr>
    </w:pPr>
  </w:style>
  <w:style w:type="paragraph" w:styleId="ListeMaddemi3">
    <w:name w:val="List Bullet 3"/>
    <w:basedOn w:val="Normal"/>
    <w:autoRedefine/>
    <w:rsid w:val="000B6FD4"/>
    <w:pPr>
      <w:numPr>
        <w:numId w:val="12"/>
      </w:numPr>
    </w:pPr>
  </w:style>
  <w:style w:type="paragraph" w:styleId="ListeMaddemi4">
    <w:name w:val="List Bullet 4"/>
    <w:basedOn w:val="Normal"/>
    <w:autoRedefine/>
    <w:rsid w:val="000B6FD4"/>
    <w:pPr>
      <w:numPr>
        <w:numId w:val="13"/>
      </w:numPr>
    </w:pPr>
  </w:style>
  <w:style w:type="paragraph" w:styleId="ListeMaddemi5">
    <w:name w:val="List Bullet 5"/>
    <w:basedOn w:val="Normal"/>
    <w:autoRedefine/>
    <w:rsid w:val="000B6FD4"/>
    <w:pPr>
      <w:numPr>
        <w:numId w:val="14"/>
      </w:numPr>
    </w:pPr>
  </w:style>
  <w:style w:type="paragraph" w:styleId="ListeDevam">
    <w:name w:val="List Continue"/>
    <w:basedOn w:val="Normal"/>
    <w:rsid w:val="000B6FD4"/>
    <w:pPr>
      <w:spacing w:after="120"/>
      <w:ind w:left="283"/>
    </w:pPr>
  </w:style>
  <w:style w:type="paragraph" w:styleId="ListeDevam2">
    <w:name w:val="List Continue 2"/>
    <w:basedOn w:val="Normal"/>
    <w:rsid w:val="000B6FD4"/>
    <w:pPr>
      <w:spacing w:after="120"/>
      <w:ind w:left="566"/>
    </w:pPr>
  </w:style>
  <w:style w:type="paragraph" w:styleId="ListeDevam3">
    <w:name w:val="List Continue 3"/>
    <w:basedOn w:val="Normal"/>
    <w:rsid w:val="000B6FD4"/>
    <w:pPr>
      <w:spacing w:after="120"/>
      <w:ind w:left="849"/>
    </w:pPr>
  </w:style>
  <w:style w:type="paragraph" w:styleId="ListeDevam4">
    <w:name w:val="List Continue 4"/>
    <w:basedOn w:val="Normal"/>
    <w:rsid w:val="000B6FD4"/>
    <w:pPr>
      <w:spacing w:after="120"/>
      <w:ind w:left="1132"/>
    </w:pPr>
  </w:style>
  <w:style w:type="paragraph" w:styleId="ListeDevam5">
    <w:name w:val="List Continue 5"/>
    <w:basedOn w:val="Normal"/>
    <w:rsid w:val="000B6FD4"/>
    <w:pPr>
      <w:spacing w:after="120"/>
      <w:ind w:left="1415"/>
    </w:pPr>
  </w:style>
  <w:style w:type="paragraph" w:styleId="ListeNumaras">
    <w:name w:val="List Number"/>
    <w:basedOn w:val="Normal"/>
    <w:rsid w:val="000B6FD4"/>
    <w:pPr>
      <w:numPr>
        <w:numId w:val="15"/>
      </w:numPr>
    </w:pPr>
  </w:style>
  <w:style w:type="paragraph" w:styleId="ListeNumaras2">
    <w:name w:val="List Number 2"/>
    <w:basedOn w:val="Normal"/>
    <w:rsid w:val="000B6FD4"/>
    <w:pPr>
      <w:numPr>
        <w:numId w:val="16"/>
      </w:numPr>
    </w:pPr>
  </w:style>
  <w:style w:type="paragraph" w:styleId="ListeNumaras3">
    <w:name w:val="List Number 3"/>
    <w:basedOn w:val="Normal"/>
    <w:rsid w:val="000B6FD4"/>
    <w:pPr>
      <w:numPr>
        <w:numId w:val="17"/>
      </w:numPr>
    </w:pPr>
  </w:style>
  <w:style w:type="paragraph" w:styleId="ListeNumaras4">
    <w:name w:val="List Number 4"/>
    <w:basedOn w:val="Normal"/>
    <w:rsid w:val="000B6FD4"/>
    <w:pPr>
      <w:numPr>
        <w:numId w:val="18"/>
      </w:numPr>
    </w:pPr>
  </w:style>
  <w:style w:type="paragraph" w:styleId="ListeNumaras5">
    <w:name w:val="List Number 5"/>
    <w:basedOn w:val="Normal"/>
    <w:rsid w:val="000B6FD4"/>
    <w:pPr>
      <w:numPr>
        <w:numId w:val="19"/>
      </w:numPr>
    </w:pPr>
  </w:style>
  <w:style w:type="paragraph" w:styleId="MakroMetni">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letistBilgisi">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uiPriority w:val="99"/>
    <w:rsid w:val="000B6FD4"/>
    <w:rPr>
      <w:szCs w:val="24"/>
    </w:rPr>
  </w:style>
  <w:style w:type="paragraph" w:styleId="NormalGirinti">
    <w:name w:val="Normal Indent"/>
    <w:basedOn w:val="Normal"/>
    <w:rsid w:val="000B6FD4"/>
    <w:pPr>
      <w:ind w:left="720"/>
    </w:pPr>
  </w:style>
  <w:style w:type="paragraph" w:styleId="NotBal">
    <w:name w:val="Note Heading"/>
    <w:basedOn w:val="Normal"/>
    <w:next w:val="Normal"/>
    <w:rsid w:val="000B6FD4"/>
  </w:style>
  <w:style w:type="character" w:customStyle="1" w:styleId="ParaHead">
    <w:name w:val="ParaHead"/>
    <w:basedOn w:val="VarsaylanParagrafYazTipi"/>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Kaynaka">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VarsaylanParagrafYazTipi"/>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Alnt">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AklamaKonusu">
    <w:name w:val="annotation subject"/>
    <w:basedOn w:val="AklamaMetni"/>
    <w:next w:val="AklamaMetni"/>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C:\documents and settings\jannis\application data\microsoft\templates\BMJ Templates\article.dot</Template>
  <TotalTime>2</TotalTime>
  <Pages>13</Pages>
  <Words>2884</Words>
  <Characters>16443</Characters>
  <Application>Microsoft Office Word</Application>
  <DocSecurity>0</DocSecurity>
  <Lines>137</Lines>
  <Paragraphs>38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19289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STROBE Statement—Checklist for Frailty Organ Dysfunction and Mortality in Older ICU Patients</dc:title>
  <dc:subject>Completed STROBE cohort-study checklist for the revised manuscript</dc:subject>
  <dc:creator>Umut Sabri Kasapoğlu</dc:creator>
  <cp:keywords>STROBE; cohort study; intensive care; frailty; mortality</cp:keywords>
  <cp:lastModifiedBy>Umut Kasapoğlu</cp:lastModifiedBy>
  <cp:revision>2</cp:revision>
  <cp:lastPrinted>2014-09-01T08:36:00Z</cp:lastPrinted>
  <dcterms:created xsi:type="dcterms:W3CDTF">2026-08-13T13:13:00Z</dcterms:created>
  <dcterms:modified xsi:type="dcterms:W3CDTF">2026-08-13T13:13:00Z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512315745</vt:i4>
  </property>
  <property fmtid="{D5CDD505-2E9C-101B-9397-08002B2CF9AE}" pid="3" name="_EmailSubject">
    <vt:lpwstr>Message from BMJ</vt:lpwstr>
  </property>
  <property fmtid="{D5CDD505-2E9C-101B-9397-08002B2CF9AE}" pid="4" name="_AuthorEmail">
    <vt:lpwstr>robyn.tamblyn@mcgill.ca</vt:lpwstr>
  </property>
  <property fmtid="{D5CDD505-2E9C-101B-9397-08002B2CF9AE}" pid="5" name="_AuthorEmailDisplayName">
    <vt:lpwstr>Dr.Robyn Tamblyn</vt:lpwstr>
  </property>
  <property fmtid="{D5CDD505-2E9C-101B-9397-08002B2CF9AE}" pid="6" name="_ReviewingToolsShownOnce">
    <vt:lpwstr/>
  </property>
</Properties>
</file>