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1842"/>
        <w:gridCol w:w="5956"/>
      </w:tblGrid>
      <w:tr w:rsidR="008C1F05" w:rsidRPr="00D5064E" w:rsidTr="00125743">
        <w:tc>
          <w:tcPr>
            <w:tcW w:w="13894" w:type="dxa"/>
            <w:gridSpan w:val="3"/>
            <w:tcBorders>
              <w:bottom w:val="single" w:sz="18" w:space="0" w:color="auto"/>
            </w:tcBorders>
          </w:tcPr>
          <w:p w:rsidR="008C1F05" w:rsidRPr="00D5064E" w:rsidRDefault="008C1F05" w:rsidP="00D5064E">
            <w:pPr>
              <w:spacing w:before="60" w:after="60"/>
              <w:rPr>
                <w:rFonts w:ascii="Times New Roman" w:hAnsi="Times New Roman" w:cs="Times New Roman"/>
                <w:b/>
                <w:bCs/>
                <w:sz w:val="20"/>
                <w:szCs w:val="20"/>
              </w:rPr>
            </w:pPr>
            <w:r w:rsidRPr="00D5064E">
              <w:rPr>
                <w:rFonts w:ascii="Times New Roman" w:hAnsi="Times New Roman" w:cs="Times New Roman"/>
                <w:b/>
                <w:bCs/>
                <w:sz w:val="20"/>
                <w:szCs w:val="20"/>
              </w:rPr>
              <w:t>Supplementary Table S5.</w:t>
            </w:r>
            <w:r w:rsidRPr="00D5064E">
              <w:rPr>
                <w:rFonts w:ascii="Times New Roman" w:hAnsi="Times New Roman" w:cs="Times New Roman"/>
                <w:sz w:val="20"/>
                <w:szCs w:val="20"/>
              </w:rPr>
              <w:t xml:space="preserve"> </w:t>
            </w:r>
            <w:r w:rsidR="000C44AF" w:rsidRPr="000C44AF">
              <w:rPr>
                <w:rFonts w:ascii="Times New Roman" w:hAnsi="Times New Roman" w:cs="Times New Roman"/>
                <w:sz w:val="20"/>
                <w:szCs w:val="20"/>
              </w:rPr>
              <w:t>Descriptive comparison of locally recorded APACHE II–predicted mortality probabilities with observed 30-day all-cause mortality</w:t>
            </w:r>
          </w:p>
        </w:tc>
      </w:tr>
      <w:tr w:rsidR="00D5064E" w:rsidRPr="00D5064E" w:rsidTr="00125743">
        <w:tc>
          <w:tcPr>
            <w:tcW w:w="6096" w:type="dxa"/>
            <w:tcBorders>
              <w:top w:val="single" w:sz="18" w:space="0" w:color="auto"/>
              <w:bottom w:val="single" w:sz="18" w:space="0" w:color="auto"/>
            </w:tcBorders>
          </w:tcPr>
          <w:p w:rsidR="00D5064E" w:rsidRPr="00D5064E" w:rsidRDefault="00D5064E" w:rsidP="00D5064E">
            <w:pPr>
              <w:spacing w:before="60" w:after="60"/>
              <w:rPr>
                <w:rFonts w:ascii="Times New Roman" w:hAnsi="Times New Roman" w:cs="Times New Roman"/>
                <w:b/>
                <w:bCs/>
                <w:sz w:val="20"/>
                <w:szCs w:val="20"/>
              </w:rPr>
            </w:pPr>
            <w:r w:rsidRPr="00D5064E">
              <w:rPr>
                <w:rFonts w:ascii="Times New Roman" w:hAnsi="Times New Roman" w:cs="Times New Roman"/>
                <w:b/>
                <w:bCs/>
                <w:sz w:val="20"/>
                <w:szCs w:val="20"/>
              </w:rPr>
              <w:t>Metric</w:t>
            </w:r>
          </w:p>
        </w:tc>
        <w:tc>
          <w:tcPr>
            <w:tcW w:w="1842" w:type="dxa"/>
            <w:tcBorders>
              <w:top w:val="single" w:sz="18" w:space="0" w:color="auto"/>
              <w:bottom w:val="single" w:sz="18" w:space="0" w:color="auto"/>
            </w:tcBorders>
          </w:tcPr>
          <w:p w:rsidR="00D5064E" w:rsidRPr="00D5064E" w:rsidRDefault="00D5064E" w:rsidP="00D5064E">
            <w:pPr>
              <w:spacing w:before="60" w:after="60"/>
              <w:jc w:val="center"/>
              <w:rPr>
                <w:rFonts w:ascii="Times New Roman" w:hAnsi="Times New Roman" w:cs="Times New Roman"/>
                <w:b/>
                <w:bCs/>
                <w:sz w:val="20"/>
                <w:szCs w:val="20"/>
              </w:rPr>
            </w:pPr>
            <w:r w:rsidRPr="00D5064E">
              <w:rPr>
                <w:rFonts w:ascii="Times New Roman" w:hAnsi="Times New Roman" w:cs="Times New Roman"/>
                <w:b/>
                <w:bCs/>
                <w:sz w:val="20"/>
                <w:szCs w:val="20"/>
              </w:rPr>
              <w:t>Value</w:t>
            </w:r>
          </w:p>
        </w:tc>
        <w:tc>
          <w:tcPr>
            <w:tcW w:w="5956" w:type="dxa"/>
            <w:tcBorders>
              <w:top w:val="single" w:sz="18" w:space="0" w:color="auto"/>
              <w:bottom w:val="single" w:sz="18" w:space="0" w:color="auto"/>
            </w:tcBorders>
          </w:tcPr>
          <w:p w:rsidR="00D5064E" w:rsidRPr="00D5064E" w:rsidRDefault="00D5064E" w:rsidP="00D5064E">
            <w:pPr>
              <w:spacing w:before="60" w:after="60"/>
              <w:jc w:val="center"/>
              <w:rPr>
                <w:rFonts w:ascii="Times New Roman" w:hAnsi="Times New Roman" w:cs="Times New Roman"/>
                <w:b/>
                <w:bCs/>
                <w:sz w:val="20"/>
                <w:szCs w:val="20"/>
              </w:rPr>
            </w:pPr>
            <w:r w:rsidRPr="00D5064E">
              <w:rPr>
                <w:rFonts w:ascii="Times New Roman" w:eastAsia="Times New Roman" w:hAnsi="Times New Roman" w:cs="Times New Roman"/>
                <w:b/>
                <w:bCs/>
                <w:kern w:val="0"/>
                <w:sz w:val="20"/>
                <w:szCs w:val="20"/>
                <w:lang w:eastAsia="tr-TR"/>
                <w14:ligatures w14:val="none"/>
              </w:rPr>
              <w:t>Methodological note</w:t>
            </w:r>
          </w:p>
        </w:tc>
      </w:tr>
      <w:tr w:rsidR="00D5064E" w:rsidRPr="00D5064E" w:rsidTr="00125743">
        <w:tc>
          <w:tcPr>
            <w:tcW w:w="6096" w:type="dxa"/>
            <w:tcBorders>
              <w:top w:val="single" w:sz="18" w:space="0" w:color="auto"/>
            </w:tcBorders>
            <w:vAlign w:val="center"/>
          </w:tcPr>
          <w:p w:rsidR="00D5064E" w:rsidRPr="003C25B8" w:rsidRDefault="00D5064E" w:rsidP="00125743">
            <w:pPr>
              <w:spacing w:before="60" w:after="60"/>
              <w:rPr>
                <w:rFonts w:ascii="Times New Roman" w:eastAsia="Times New Roman" w:hAnsi="Times New Roman" w:cs="Times New Roman"/>
                <w:b/>
                <w:bCs/>
                <w:kern w:val="0"/>
                <w:sz w:val="20"/>
                <w:szCs w:val="20"/>
                <w:lang w:eastAsia="tr-TR"/>
                <w14:ligatures w14:val="none"/>
              </w:rPr>
            </w:pPr>
            <w:r w:rsidRPr="003C25B8">
              <w:rPr>
                <w:rFonts w:ascii="Times New Roman" w:eastAsia="Times New Roman" w:hAnsi="Times New Roman" w:cs="Times New Roman"/>
                <w:b/>
                <w:bCs/>
                <w:kern w:val="0"/>
                <w:sz w:val="20"/>
                <w:szCs w:val="20"/>
                <w:lang w:eastAsia="tr-TR"/>
                <w14:ligatures w14:val="none"/>
              </w:rPr>
              <w:t>Observed deaths</w:t>
            </w:r>
          </w:p>
        </w:tc>
        <w:tc>
          <w:tcPr>
            <w:tcW w:w="1842" w:type="dxa"/>
            <w:tcBorders>
              <w:top w:val="single" w:sz="18" w:space="0" w:color="auto"/>
            </w:tcBorders>
            <w:vAlign w:val="center"/>
          </w:tcPr>
          <w:p w:rsidR="00D5064E" w:rsidRPr="003C25B8" w:rsidRDefault="00D5064E" w:rsidP="00125743">
            <w:pPr>
              <w:spacing w:before="60" w:after="60"/>
              <w:jc w:val="center"/>
              <w:rPr>
                <w:rFonts w:ascii="Times New Roman" w:eastAsia="Times New Roman" w:hAnsi="Times New Roman" w:cs="Times New Roman"/>
                <w:kern w:val="0"/>
                <w:sz w:val="20"/>
                <w:szCs w:val="20"/>
                <w:lang w:eastAsia="tr-TR"/>
                <w14:ligatures w14:val="none"/>
              </w:rPr>
            </w:pPr>
            <w:r w:rsidRPr="003C25B8">
              <w:rPr>
                <w:rFonts w:ascii="Times New Roman" w:eastAsia="Times New Roman" w:hAnsi="Times New Roman" w:cs="Times New Roman"/>
                <w:kern w:val="0"/>
                <w:sz w:val="20"/>
                <w:szCs w:val="20"/>
                <w:lang w:eastAsia="tr-TR"/>
                <w14:ligatures w14:val="none"/>
              </w:rPr>
              <w:t>515</w:t>
            </w:r>
          </w:p>
        </w:tc>
        <w:tc>
          <w:tcPr>
            <w:tcW w:w="5956" w:type="dxa"/>
            <w:tcBorders>
              <w:top w:val="single" w:sz="18" w:space="0" w:color="auto"/>
            </w:tcBorders>
            <w:vAlign w:val="center"/>
          </w:tcPr>
          <w:p w:rsidR="00D5064E" w:rsidRPr="003C25B8" w:rsidRDefault="00D5064E" w:rsidP="00125743">
            <w:pPr>
              <w:spacing w:before="60" w:after="60"/>
              <w:rPr>
                <w:rFonts w:ascii="Times New Roman" w:eastAsia="Times New Roman" w:hAnsi="Times New Roman" w:cs="Times New Roman"/>
                <w:kern w:val="0"/>
                <w:sz w:val="20"/>
                <w:szCs w:val="20"/>
                <w:lang w:eastAsia="tr-TR"/>
                <w14:ligatures w14:val="none"/>
              </w:rPr>
            </w:pPr>
            <w:r w:rsidRPr="003C25B8">
              <w:rPr>
                <w:rFonts w:ascii="Times New Roman" w:eastAsia="Times New Roman" w:hAnsi="Times New Roman" w:cs="Times New Roman"/>
                <w:kern w:val="0"/>
                <w:sz w:val="20"/>
                <w:szCs w:val="20"/>
                <w:lang w:eastAsia="tr-TR"/>
                <w14:ligatures w14:val="none"/>
              </w:rPr>
              <w:t>Number of deaths within 30 days after ICU admission in the analytic cohort</w:t>
            </w:r>
          </w:p>
        </w:tc>
      </w:tr>
      <w:tr w:rsidR="00D5064E" w:rsidRPr="00D5064E" w:rsidTr="00125743">
        <w:tc>
          <w:tcPr>
            <w:tcW w:w="6096" w:type="dxa"/>
            <w:vAlign w:val="center"/>
          </w:tcPr>
          <w:p w:rsidR="00D5064E" w:rsidRPr="003C25B8" w:rsidRDefault="002036E2" w:rsidP="00125743">
            <w:pPr>
              <w:spacing w:before="60" w:after="60"/>
              <w:rPr>
                <w:rFonts w:ascii="Times New Roman" w:eastAsia="Times New Roman" w:hAnsi="Times New Roman" w:cs="Times New Roman"/>
                <w:b/>
                <w:bCs/>
                <w:kern w:val="0"/>
                <w:sz w:val="20"/>
                <w:szCs w:val="20"/>
                <w:lang w:eastAsia="tr-TR"/>
                <w14:ligatures w14:val="none"/>
              </w:rPr>
            </w:pPr>
            <w:r w:rsidRPr="002036E2">
              <w:rPr>
                <w:rFonts w:ascii="Times New Roman" w:eastAsia="Times New Roman" w:hAnsi="Times New Roman" w:cs="Times New Roman"/>
                <w:b/>
                <w:bCs/>
                <w:kern w:val="0"/>
                <w:sz w:val="20"/>
                <w:szCs w:val="20"/>
                <w:lang w:eastAsia="tr-TR"/>
                <w14:ligatures w14:val="none"/>
              </w:rPr>
              <w:t>Expected deaths based on recorded APACHE II–predicted mortality</w:t>
            </w:r>
          </w:p>
        </w:tc>
        <w:tc>
          <w:tcPr>
            <w:tcW w:w="1842" w:type="dxa"/>
            <w:vAlign w:val="center"/>
          </w:tcPr>
          <w:p w:rsidR="00D5064E" w:rsidRPr="003C25B8" w:rsidRDefault="00D5064E" w:rsidP="00125743">
            <w:pPr>
              <w:spacing w:before="60" w:after="60"/>
              <w:jc w:val="center"/>
              <w:rPr>
                <w:rFonts w:ascii="Times New Roman" w:eastAsia="Times New Roman" w:hAnsi="Times New Roman" w:cs="Times New Roman"/>
                <w:kern w:val="0"/>
                <w:sz w:val="20"/>
                <w:szCs w:val="20"/>
                <w:lang w:eastAsia="tr-TR"/>
                <w14:ligatures w14:val="none"/>
              </w:rPr>
            </w:pPr>
            <w:r w:rsidRPr="003C25B8">
              <w:rPr>
                <w:rFonts w:ascii="Times New Roman" w:eastAsia="Times New Roman" w:hAnsi="Times New Roman" w:cs="Times New Roman"/>
                <w:kern w:val="0"/>
                <w:sz w:val="20"/>
                <w:szCs w:val="20"/>
                <w:lang w:eastAsia="tr-TR"/>
                <w14:ligatures w14:val="none"/>
              </w:rPr>
              <w:t>675.1</w:t>
            </w:r>
          </w:p>
        </w:tc>
        <w:tc>
          <w:tcPr>
            <w:tcW w:w="5956" w:type="dxa"/>
            <w:vAlign w:val="center"/>
          </w:tcPr>
          <w:p w:rsidR="00D5064E" w:rsidRPr="003C25B8" w:rsidRDefault="00D5064E" w:rsidP="00125743">
            <w:pPr>
              <w:spacing w:before="60" w:after="60"/>
              <w:rPr>
                <w:rFonts w:ascii="Times New Roman" w:eastAsia="Times New Roman" w:hAnsi="Times New Roman" w:cs="Times New Roman"/>
                <w:kern w:val="0"/>
                <w:sz w:val="20"/>
                <w:szCs w:val="20"/>
                <w:lang w:eastAsia="tr-TR"/>
                <w14:ligatures w14:val="none"/>
              </w:rPr>
            </w:pPr>
            <w:r w:rsidRPr="003C25B8">
              <w:rPr>
                <w:rFonts w:ascii="Times New Roman" w:eastAsia="Times New Roman" w:hAnsi="Times New Roman" w:cs="Times New Roman"/>
                <w:kern w:val="0"/>
                <w:sz w:val="20"/>
                <w:szCs w:val="20"/>
                <w:lang w:eastAsia="tr-TR"/>
                <w14:ligatures w14:val="none"/>
              </w:rPr>
              <w:t>Calculated by summing individual APACHE II–predicted mortality probabilities across the analytic cohort</w:t>
            </w:r>
          </w:p>
        </w:tc>
      </w:tr>
      <w:tr w:rsidR="00D5064E" w:rsidRPr="00D5064E" w:rsidTr="00125743">
        <w:tc>
          <w:tcPr>
            <w:tcW w:w="6096" w:type="dxa"/>
            <w:vAlign w:val="center"/>
          </w:tcPr>
          <w:p w:rsidR="00D5064E" w:rsidRPr="003C25B8" w:rsidRDefault="00D5064E" w:rsidP="00125743">
            <w:pPr>
              <w:spacing w:before="60" w:after="60"/>
              <w:rPr>
                <w:rFonts w:ascii="Times New Roman" w:eastAsia="Times New Roman" w:hAnsi="Times New Roman" w:cs="Times New Roman"/>
                <w:b/>
                <w:bCs/>
                <w:kern w:val="0"/>
                <w:sz w:val="20"/>
                <w:szCs w:val="20"/>
                <w:lang w:eastAsia="tr-TR"/>
                <w14:ligatures w14:val="none"/>
              </w:rPr>
            </w:pPr>
            <w:r w:rsidRPr="003C25B8">
              <w:rPr>
                <w:rFonts w:ascii="Times New Roman" w:eastAsia="Times New Roman" w:hAnsi="Times New Roman" w:cs="Times New Roman"/>
                <w:b/>
                <w:bCs/>
                <w:kern w:val="0"/>
                <w:sz w:val="20"/>
                <w:szCs w:val="20"/>
                <w:lang w:eastAsia="tr-TR"/>
                <w14:ligatures w14:val="none"/>
              </w:rPr>
              <w:t>Observed 30-day all-cause mortality</w:t>
            </w:r>
          </w:p>
        </w:tc>
        <w:tc>
          <w:tcPr>
            <w:tcW w:w="1842" w:type="dxa"/>
            <w:vAlign w:val="center"/>
          </w:tcPr>
          <w:p w:rsidR="00D5064E" w:rsidRPr="003C25B8" w:rsidRDefault="00D5064E" w:rsidP="00125743">
            <w:pPr>
              <w:spacing w:before="60" w:after="60"/>
              <w:jc w:val="center"/>
              <w:rPr>
                <w:rFonts w:ascii="Times New Roman" w:eastAsia="Times New Roman" w:hAnsi="Times New Roman" w:cs="Times New Roman"/>
                <w:kern w:val="0"/>
                <w:sz w:val="20"/>
                <w:szCs w:val="20"/>
                <w:lang w:eastAsia="tr-TR"/>
                <w14:ligatures w14:val="none"/>
              </w:rPr>
            </w:pPr>
            <w:r w:rsidRPr="003C25B8">
              <w:rPr>
                <w:rFonts w:ascii="Times New Roman" w:eastAsia="Times New Roman" w:hAnsi="Times New Roman" w:cs="Times New Roman"/>
                <w:kern w:val="0"/>
                <w:sz w:val="20"/>
                <w:szCs w:val="20"/>
                <w:lang w:eastAsia="tr-TR"/>
                <w14:ligatures w14:val="none"/>
              </w:rPr>
              <w:t>33.7%</w:t>
            </w:r>
          </w:p>
        </w:tc>
        <w:tc>
          <w:tcPr>
            <w:tcW w:w="5956" w:type="dxa"/>
            <w:vAlign w:val="center"/>
          </w:tcPr>
          <w:p w:rsidR="00D5064E" w:rsidRPr="003C25B8" w:rsidRDefault="00D5064E" w:rsidP="00125743">
            <w:pPr>
              <w:spacing w:before="60" w:after="60"/>
              <w:rPr>
                <w:rFonts w:ascii="Times New Roman" w:eastAsia="Times New Roman" w:hAnsi="Times New Roman" w:cs="Times New Roman"/>
                <w:kern w:val="0"/>
                <w:sz w:val="20"/>
                <w:szCs w:val="20"/>
                <w:lang w:eastAsia="tr-TR"/>
                <w14:ligatures w14:val="none"/>
              </w:rPr>
            </w:pPr>
            <w:r w:rsidRPr="003C25B8">
              <w:rPr>
                <w:rFonts w:ascii="Times New Roman" w:eastAsia="Times New Roman" w:hAnsi="Times New Roman" w:cs="Times New Roman"/>
                <w:kern w:val="0"/>
                <w:sz w:val="20"/>
                <w:szCs w:val="20"/>
                <w:lang w:eastAsia="tr-TR"/>
                <w14:ligatures w14:val="none"/>
              </w:rPr>
              <w:t>Observed deaths divided by the total number of patients in the analytic cohort, 515/1,529</w:t>
            </w:r>
          </w:p>
        </w:tc>
      </w:tr>
      <w:tr w:rsidR="00D5064E" w:rsidRPr="00D5064E" w:rsidTr="00125743">
        <w:tc>
          <w:tcPr>
            <w:tcW w:w="6096" w:type="dxa"/>
            <w:vAlign w:val="center"/>
          </w:tcPr>
          <w:p w:rsidR="00D5064E" w:rsidRPr="003C25B8" w:rsidRDefault="002036E2" w:rsidP="00125743">
            <w:pPr>
              <w:spacing w:before="60" w:after="60"/>
              <w:rPr>
                <w:rFonts w:ascii="Times New Roman" w:eastAsia="Times New Roman" w:hAnsi="Times New Roman" w:cs="Times New Roman"/>
                <w:b/>
                <w:bCs/>
                <w:kern w:val="0"/>
                <w:sz w:val="20"/>
                <w:szCs w:val="20"/>
                <w:lang w:eastAsia="tr-TR"/>
                <w14:ligatures w14:val="none"/>
              </w:rPr>
            </w:pPr>
            <w:r w:rsidRPr="002036E2">
              <w:rPr>
                <w:rFonts w:ascii="Times New Roman" w:eastAsia="Times New Roman" w:hAnsi="Times New Roman" w:cs="Times New Roman"/>
                <w:b/>
                <w:bCs/>
                <w:kern w:val="0"/>
                <w:sz w:val="20"/>
                <w:szCs w:val="20"/>
                <w:lang w:eastAsia="tr-TR"/>
                <w14:ligatures w14:val="none"/>
              </w:rPr>
              <w:t>Mean recorded APACHE II–predicted mortality probability</w:t>
            </w:r>
          </w:p>
        </w:tc>
        <w:tc>
          <w:tcPr>
            <w:tcW w:w="1842" w:type="dxa"/>
            <w:vAlign w:val="center"/>
          </w:tcPr>
          <w:p w:rsidR="00D5064E" w:rsidRPr="003C25B8" w:rsidRDefault="00D5064E" w:rsidP="00125743">
            <w:pPr>
              <w:spacing w:before="60" w:after="60"/>
              <w:jc w:val="center"/>
              <w:rPr>
                <w:rFonts w:ascii="Times New Roman" w:eastAsia="Times New Roman" w:hAnsi="Times New Roman" w:cs="Times New Roman"/>
                <w:kern w:val="0"/>
                <w:sz w:val="20"/>
                <w:szCs w:val="20"/>
                <w:lang w:eastAsia="tr-TR"/>
                <w14:ligatures w14:val="none"/>
              </w:rPr>
            </w:pPr>
            <w:r w:rsidRPr="003C25B8">
              <w:rPr>
                <w:rFonts w:ascii="Times New Roman" w:eastAsia="Times New Roman" w:hAnsi="Times New Roman" w:cs="Times New Roman"/>
                <w:kern w:val="0"/>
                <w:sz w:val="20"/>
                <w:szCs w:val="20"/>
                <w:lang w:eastAsia="tr-TR"/>
                <w14:ligatures w14:val="none"/>
              </w:rPr>
              <w:t>44.2%</w:t>
            </w:r>
          </w:p>
        </w:tc>
        <w:tc>
          <w:tcPr>
            <w:tcW w:w="5956" w:type="dxa"/>
            <w:vAlign w:val="center"/>
          </w:tcPr>
          <w:p w:rsidR="00D5064E" w:rsidRPr="003C25B8" w:rsidRDefault="00D5064E" w:rsidP="00125743">
            <w:pPr>
              <w:spacing w:before="60" w:after="60"/>
              <w:rPr>
                <w:rFonts w:ascii="Times New Roman" w:eastAsia="Times New Roman" w:hAnsi="Times New Roman" w:cs="Times New Roman"/>
                <w:kern w:val="0"/>
                <w:sz w:val="20"/>
                <w:szCs w:val="20"/>
                <w:lang w:eastAsia="tr-TR"/>
                <w14:ligatures w14:val="none"/>
              </w:rPr>
            </w:pPr>
            <w:r w:rsidRPr="003C25B8">
              <w:rPr>
                <w:rFonts w:ascii="Times New Roman" w:eastAsia="Times New Roman" w:hAnsi="Times New Roman" w:cs="Times New Roman"/>
                <w:kern w:val="0"/>
                <w:sz w:val="20"/>
                <w:szCs w:val="20"/>
                <w:lang w:eastAsia="tr-TR"/>
                <w14:ligatures w14:val="none"/>
              </w:rPr>
              <w:t>Expected deaths divided by the total number of patients in the analytic cohort, 675.1/1,529</w:t>
            </w:r>
          </w:p>
        </w:tc>
      </w:tr>
      <w:tr w:rsidR="00D5064E" w:rsidRPr="00D5064E" w:rsidTr="00125743">
        <w:tc>
          <w:tcPr>
            <w:tcW w:w="6096" w:type="dxa"/>
            <w:vAlign w:val="center"/>
          </w:tcPr>
          <w:p w:rsidR="00D5064E" w:rsidRPr="003C25B8" w:rsidRDefault="002036E2" w:rsidP="00125743">
            <w:pPr>
              <w:spacing w:before="60" w:after="60"/>
              <w:rPr>
                <w:rFonts w:ascii="Times New Roman" w:eastAsia="Times New Roman" w:hAnsi="Times New Roman" w:cs="Times New Roman"/>
                <w:b/>
                <w:bCs/>
                <w:kern w:val="0"/>
                <w:sz w:val="20"/>
                <w:szCs w:val="20"/>
                <w:lang w:eastAsia="tr-TR"/>
                <w14:ligatures w14:val="none"/>
              </w:rPr>
            </w:pPr>
            <w:r w:rsidRPr="002036E2">
              <w:rPr>
                <w:rFonts w:ascii="Times New Roman" w:eastAsia="Times New Roman" w:hAnsi="Times New Roman" w:cs="Times New Roman"/>
                <w:b/>
                <w:bCs/>
                <w:kern w:val="0"/>
                <w:sz w:val="20"/>
                <w:szCs w:val="20"/>
                <w:lang w:eastAsia="tr-TR"/>
                <w14:ligatures w14:val="none"/>
              </w:rPr>
              <w:t>Median recorded APACHE II–predicted mortality probability</w:t>
            </w:r>
          </w:p>
        </w:tc>
        <w:tc>
          <w:tcPr>
            <w:tcW w:w="1842" w:type="dxa"/>
            <w:vAlign w:val="center"/>
          </w:tcPr>
          <w:p w:rsidR="00D5064E" w:rsidRPr="003C25B8" w:rsidRDefault="00D5064E" w:rsidP="00125743">
            <w:pPr>
              <w:spacing w:before="60" w:after="60"/>
              <w:jc w:val="center"/>
              <w:rPr>
                <w:rFonts w:ascii="Times New Roman" w:eastAsia="Times New Roman" w:hAnsi="Times New Roman" w:cs="Times New Roman"/>
                <w:kern w:val="0"/>
                <w:sz w:val="20"/>
                <w:szCs w:val="20"/>
                <w:lang w:eastAsia="tr-TR"/>
                <w14:ligatures w14:val="none"/>
              </w:rPr>
            </w:pPr>
            <w:r w:rsidRPr="003C25B8">
              <w:rPr>
                <w:rFonts w:ascii="Times New Roman" w:eastAsia="Times New Roman" w:hAnsi="Times New Roman" w:cs="Times New Roman"/>
                <w:kern w:val="0"/>
                <w:sz w:val="20"/>
                <w:szCs w:val="20"/>
                <w:lang w:eastAsia="tr-TR"/>
                <w14:ligatures w14:val="none"/>
              </w:rPr>
              <w:t>41% [IQR, 28–59]</w:t>
            </w:r>
          </w:p>
        </w:tc>
        <w:tc>
          <w:tcPr>
            <w:tcW w:w="5956" w:type="dxa"/>
            <w:vAlign w:val="center"/>
          </w:tcPr>
          <w:p w:rsidR="00D5064E" w:rsidRPr="003C25B8" w:rsidRDefault="00D5064E" w:rsidP="00125743">
            <w:pPr>
              <w:spacing w:before="60" w:after="60"/>
              <w:rPr>
                <w:rFonts w:ascii="Times New Roman" w:eastAsia="Times New Roman" w:hAnsi="Times New Roman" w:cs="Times New Roman"/>
                <w:kern w:val="0"/>
                <w:sz w:val="20"/>
                <w:szCs w:val="20"/>
                <w:lang w:eastAsia="tr-TR"/>
                <w14:ligatures w14:val="none"/>
              </w:rPr>
            </w:pPr>
            <w:r w:rsidRPr="003C25B8">
              <w:rPr>
                <w:rFonts w:ascii="Times New Roman" w:eastAsia="Times New Roman" w:hAnsi="Times New Roman" w:cs="Times New Roman"/>
                <w:kern w:val="0"/>
                <w:sz w:val="20"/>
                <w:szCs w:val="20"/>
                <w:lang w:eastAsia="tr-TR"/>
                <w14:ligatures w14:val="none"/>
              </w:rPr>
              <w:t>Median individual APACHE II–predicted mortality probability recorded at ICU admission</w:t>
            </w:r>
          </w:p>
        </w:tc>
      </w:tr>
      <w:tr w:rsidR="00D5064E" w:rsidRPr="00D5064E" w:rsidTr="00125743">
        <w:tc>
          <w:tcPr>
            <w:tcW w:w="6096" w:type="dxa"/>
            <w:vAlign w:val="center"/>
          </w:tcPr>
          <w:p w:rsidR="00D5064E" w:rsidRPr="003C25B8" w:rsidRDefault="00D5064E" w:rsidP="00125743">
            <w:pPr>
              <w:spacing w:before="60" w:after="60"/>
              <w:rPr>
                <w:rFonts w:ascii="Times New Roman" w:eastAsia="Times New Roman" w:hAnsi="Times New Roman" w:cs="Times New Roman"/>
                <w:b/>
                <w:bCs/>
                <w:kern w:val="0"/>
                <w:sz w:val="20"/>
                <w:szCs w:val="20"/>
                <w:lang w:eastAsia="tr-TR"/>
                <w14:ligatures w14:val="none"/>
              </w:rPr>
            </w:pPr>
            <w:r w:rsidRPr="003C25B8">
              <w:rPr>
                <w:rFonts w:ascii="Times New Roman" w:eastAsia="Times New Roman" w:hAnsi="Times New Roman" w:cs="Times New Roman"/>
                <w:b/>
                <w:bCs/>
                <w:kern w:val="0"/>
                <w:sz w:val="20"/>
                <w:szCs w:val="20"/>
                <w:lang w:eastAsia="tr-TR"/>
                <w14:ligatures w14:val="none"/>
              </w:rPr>
              <w:t>Standardised mortality ratio</w:t>
            </w:r>
          </w:p>
        </w:tc>
        <w:tc>
          <w:tcPr>
            <w:tcW w:w="1842" w:type="dxa"/>
            <w:vAlign w:val="center"/>
          </w:tcPr>
          <w:p w:rsidR="00D5064E" w:rsidRPr="003C25B8" w:rsidRDefault="00D5064E" w:rsidP="00125743">
            <w:pPr>
              <w:spacing w:before="60" w:after="60"/>
              <w:jc w:val="center"/>
              <w:rPr>
                <w:rFonts w:ascii="Times New Roman" w:eastAsia="Times New Roman" w:hAnsi="Times New Roman" w:cs="Times New Roman"/>
                <w:kern w:val="0"/>
                <w:sz w:val="20"/>
                <w:szCs w:val="20"/>
                <w:lang w:eastAsia="tr-TR"/>
                <w14:ligatures w14:val="none"/>
              </w:rPr>
            </w:pPr>
            <w:r w:rsidRPr="003C25B8">
              <w:rPr>
                <w:rFonts w:ascii="Times New Roman" w:eastAsia="Times New Roman" w:hAnsi="Times New Roman" w:cs="Times New Roman"/>
                <w:kern w:val="0"/>
                <w:sz w:val="20"/>
                <w:szCs w:val="20"/>
                <w:lang w:eastAsia="tr-TR"/>
                <w14:ligatures w14:val="none"/>
              </w:rPr>
              <w:t>0.76</w:t>
            </w:r>
          </w:p>
        </w:tc>
        <w:tc>
          <w:tcPr>
            <w:tcW w:w="5956" w:type="dxa"/>
            <w:vAlign w:val="center"/>
          </w:tcPr>
          <w:p w:rsidR="00D5064E" w:rsidRPr="003C25B8" w:rsidRDefault="00D5064E" w:rsidP="00125743">
            <w:pPr>
              <w:spacing w:before="60" w:after="60"/>
              <w:rPr>
                <w:rFonts w:ascii="Times New Roman" w:eastAsia="Times New Roman" w:hAnsi="Times New Roman" w:cs="Times New Roman"/>
                <w:kern w:val="0"/>
                <w:sz w:val="20"/>
                <w:szCs w:val="20"/>
                <w:lang w:eastAsia="tr-TR"/>
                <w14:ligatures w14:val="none"/>
              </w:rPr>
            </w:pPr>
            <w:r w:rsidRPr="003C25B8">
              <w:rPr>
                <w:rFonts w:ascii="Times New Roman" w:eastAsia="Times New Roman" w:hAnsi="Times New Roman" w:cs="Times New Roman"/>
                <w:kern w:val="0"/>
                <w:sz w:val="20"/>
                <w:szCs w:val="20"/>
                <w:lang w:eastAsia="tr-TR"/>
                <w14:ligatures w14:val="none"/>
              </w:rPr>
              <w:t>Observed deaths divided by expected deaths, 515/675.1</w:t>
            </w:r>
          </w:p>
        </w:tc>
      </w:tr>
      <w:tr w:rsidR="00D5064E" w:rsidRPr="00D5064E" w:rsidTr="00125743">
        <w:tc>
          <w:tcPr>
            <w:tcW w:w="6096" w:type="dxa"/>
            <w:vAlign w:val="center"/>
          </w:tcPr>
          <w:p w:rsidR="00D5064E" w:rsidRPr="003C25B8" w:rsidRDefault="00D5064E" w:rsidP="00125743">
            <w:pPr>
              <w:spacing w:before="60" w:after="60"/>
              <w:rPr>
                <w:rFonts w:ascii="Times New Roman" w:eastAsia="Times New Roman" w:hAnsi="Times New Roman" w:cs="Times New Roman"/>
                <w:b/>
                <w:bCs/>
                <w:kern w:val="0"/>
                <w:sz w:val="20"/>
                <w:szCs w:val="20"/>
                <w:lang w:eastAsia="tr-TR"/>
                <w14:ligatures w14:val="none"/>
              </w:rPr>
            </w:pPr>
            <w:r w:rsidRPr="003C25B8">
              <w:rPr>
                <w:rFonts w:ascii="Times New Roman" w:eastAsia="Times New Roman" w:hAnsi="Times New Roman" w:cs="Times New Roman"/>
                <w:b/>
                <w:bCs/>
                <w:kern w:val="0"/>
                <w:sz w:val="20"/>
                <w:szCs w:val="20"/>
                <w:lang w:eastAsia="tr-TR"/>
                <w14:ligatures w14:val="none"/>
              </w:rPr>
              <w:t>95% CI for SMR</w:t>
            </w:r>
          </w:p>
        </w:tc>
        <w:tc>
          <w:tcPr>
            <w:tcW w:w="1842" w:type="dxa"/>
            <w:vAlign w:val="center"/>
          </w:tcPr>
          <w:p w:rsidR="00D5064E" w:rsidRPr="003C25B8" w:rsidRDefault="00D5064E" w:rsidP="00125743">
            <w:pPr>
              <w:spacing w:before="60" w:after="60"/>
              <w:jc w:val="center"/>
              <w:rPr>
                <w:rFonts w:ascii="Times New Roman" w:eastAsia="Times New Roman" w:hAnsi="Times New Roman" w:cs="Times New Roman"/>
                <w:kern w:val="0"/>
                <w:sz w:val="20"/>
                <w:szCs w:val="20"/>
                <w:lang w:eastAsia="tr-TR"/>
                <w14:ligatures w14:val="none"/>
              </w:rPr>
            </w:pPr>
            <w:r w:rsidRPr="003C25B8">
              <w:rPr>
                <w:rFonts w:ascii="Times New Roman" w:eastAsia="Times New Roman" w:hAnsi="Times New Roman" w:cs="Times New Roman"/>
                <w:kern w:val="0"/>
                <w:sz w:val="20"/>
                <w:szCs w:val="20"/>
                <w:lang w:eastAsia="tr-TR"/>
                <w14:ligatures w14:val="none"/>
              </w:rPr>
              <w:t>0.70–0.83</w:t>
            </w:r>
          </w:p>
        </w:tc>
        <w:tc>
          <w:tcPr>
            <w:tcW w:w="5956" w:type="dxa"/>
            <w:vAlign w:val="center"/>
          </w:tcPr>
          <w:p w:rsidR="00D5064E" w:rsidRPr="003C25B8" w:rsidRDefault="00D5064E" w:rsidP="00125743">
            <w:pPr>
              <w:spacing w:before="60" w:after="60"/>
              <w:rPr>
                <w:rFonts w:ascii="Times New Roman" w:eastAsia="Times New Roman" w:hAnsi="Times New Roman" w:cs="Times New Roman"/>
                <w:kern w:val="0"/>
                <w:sz w:val="20"/>
                <w:szCs w:val="20"/>
                <w:lang w:eastAsia="tr-TR"/>
                <w14:ligatures w14:val="none"/>
              </w:rPr>
            </w:pPr>
            <w:r w:rsidRPr="003C25B8">
              <w:rPr>
                <w:rFonts w:ascii="Times New Roman" w:eastAsia="Times New Roman" w:hAnsi="Times New Roman" w:cs="Times New Roman"/>
                <w:kern w:val="0"/>
                <w:sz w:val="20"/>
                <w:szCs w:val="20"/>
                <w:lang w:eastAsia="tr-TR"/>
                <w14:ligatures w14:val="none"/>
              </w:rPr>
              <w:t>Derived from the 95% confidence limits for the observed number of deaths divided by the expected number of deaths</w:t>
            </w:r>
          </w:p>
        </w:tc>
      </w:tr>
      <w:tr w:rsidR="00D5064E" w:rsidRPr="00D5064E" w:rsidTr="00125743">
        <w:tc>
          <w:tcPr>
            <w:tcW w:w="6096" w:type="dxa"/>
            <w:vAlign w:val="center"/>
          </w:tcPr>
          <w:p w:rsidR="00D5064E" w:rsidRPr="003C25B8" w:rsidRDefault="000C44AF" w:rsidP="00125743">
            <w:pPr>
              <w:spacing w:before="60" w:after="60"/>
              <w:rPr>
                <w:rFonts w:ascii="Times New Roman" w:eastAsia="Times New Roman" w:hAnsi="Times New Roman" w:cs="Times New Roman"/>
                <w:b/>
                <w:bCs/>
                <w:kern w:val="0"/>
                <w:sz w:val="20"/>
                <w:szCs w:val="20"/>
                <w:lang w:eastAsia="tr-TR"/>
                <w14:ligatures w14:val="none"/>
              </w:rPr>
            </w:pPr>
            <w:r w:rsidRPr="000C44AF">
              <w:rPr>
                <w:rFonts w:ascii="Times New Roman" w:eastAsia="Times New Roman" w:hAnsi="Times New Roman" w:cs="Times New Roman"/>
                <w:b/>
                <w:bCs/>
                <w:kern w:val="0"/>
                <w:sz w:val="20"/>
                <w:szCs w:val="20"/>
                <w:lang w:eastAsia="tr-TR"/>
                <w14:ligatures w14:val="none"/>
              </w:rPr>
              <w:t>AUROC for locally recorded APACHE II–predicted mortality probabilities</w:t>
            </w:r>
          </w:p>
        </w:tc>
        <w:tc>
          <w:tcPr>
            <w:tcW w:w="1842" w:type="dxa"/>
            <w:vAlign w:val="center"/>
          </w:tcPr>
          <w:p w:rsidR="00D5064E" w:rsidRPr="003C25B8" w:rsidRDefault="00D5064E" w:rsidP="00125743">
            <w:pPr>
              <w:spacing w:before="60" w:after="60"/>
              <w:jc w:val="center"/>
              <w:rPr>
                <w:rFonts w:ascii="Times New Roman" w:eastAsia="Times New Roman" w:hAnsi="Times New Roman" w:cs="Times New Roman"/>
                <w:kern w:val="0"/>
                <w:sz w:val="20"/>
                <w:szCs w:val="20"/>
                <w:lang w:eastAsia="tr-TR"/>
                <w14:ligatures w14:val="none"/>
              </w:rPr>
            </w:pPr>
            <w:r w:rsidRPr="003C25B8">
              <w:rPr>
                <w:rFonts w:ascii="Times New Roman" w:eastAsia="Times New Roman" w:hAnsi="Times New Roman" w:cs="Times New Roman"/>
                <w:kern w:val="0"/>
                <w:sz w:val="20"/>
                <w:szCs w:val="20"/>
                <w:lang w:eastAsia="tr-TR"/>
                <w14:ligatures w14:val="none"/>
              </w:rPr>
              <w:t>0.680</w:t>
            </w:r>
          </w:p>
        </w:tc>
        <w:tc>
          <w:tcPr>
            <w:tcW w:w="5956" w:type="dxa"/>
            <w:vAlign w:val="center"/>
          </w:tcPr>
          <w:p w:rsidR="00D5064E" w:rsidRPr="003C25B8" w:rsidRDefault="00D5064E" w:rsidP="00125743">
            <w:pPr>
              <w:spacing w:before="60" w:after="60"/>
              <w:rPr>
                <w:rFonts w:ascii="Times New Roman" w:eastAsia="Times New Roman" w:hAnsi="Times New Roman" w:cs="Times New Roman"/>
                <w:kern w:val="0"/>
                <w:sz w:val="20"/>
                <w:szCs w:val="20"/>
                <w:lang w:eastAsia="tr-TR"/>
                <w14:ligatures w14:val="none"/>
              </w:rPr>
            </w:pPr>
            <w:r w:rsidRPr="003C25B8">
              <w:rPr>
                <w:rFonts w:ascii="Times New Roman" w:eastAsia="Times New Roman" w:hAnsi="Times New Roman" w:cs="Times New Roman"/>
                <w:kern w:val="0"/>
                <w:sz w:val="20"/>
                <w:szCs w:val="20"/>
                <w:lang w:eastAsia="tr-TR"/>
                <w14:ligatures w14:val="none"/>
              </w:rPr>
              <w:t>Predictor: individual APACHE II–predicted mortality probability; outcome: observed 30-day all-cause mortality</w:t>
            </w:r>
          </w:p>
        </w:tc>
      </w:tr>
      <w:tr w:rsidR="00D5064E" w:rsidRPr="00D5064E" w:rsidTr="00125743">
        <w:tc>
          <w:tcPr>
            <w:tcW w:w="6096" w:type="dxa"/>
            <w:vAlign w:val="center"/>
          </w:tcPr>
          <w:p w:rsidR="00D5064E" w:rsidRPr="003C25B8" w:rsidRDefault="00D5064E" w:rsidP="00125743">
            <w:pPr>
              <w:spacing w:before="60" w:after="60"/>
              <w:rPr>
                <w:rFonts w:ascii="Times New Roman" w:eastAsia="Times New Roman" w:hAnsi="Times New Roman" w:cs="Times New Roman"/>
                <w:b/>
                <w:bCs/>
                <w:kern w:val="0"/>
                <w:sz w:val="20"/>
                <w:szCs w:val="20"/>
                <w:lang w:eastAsia="tr-TR"/>
                <w14:ligatures w14:val="none"/>
              </w:rPr>
            </w:pPr>
            <w:r w:rsidRPr="003C25B8">
              <w:rPr>
                <w:rFonts w:ascii="Times New Roman" w:eastAsia="Times New Roman" w:hAnsi="Times New Roman" w:cs="Times New Roman"/>
                <w:b/>
                <w:bCs/>
                <w:kern w:val="0"/>
                <w:sz w:val="20"/>
                <w:szCs w:val="20"/>
                <w:lang w:eastAsia="tr-TR"/>
                <w14:ligatures w14:val="none"/>
              </w:rPr>
              <w:t>AUROC for SOFA</w:t>
            </w:r>
          </w:p>
        </w:tc>
        <w:tc>
          <w:tcPr>
            <w:tcW w:w="1842" w:type="dxa"/>
            <w:vAlign w:val="center"/>
          </w:tcPr>
          <w:p w:rsidR="00D5064E" w:rsidRPr="003C25B8" w:rsidRDefault="00D5064E" w:rsidP="00125743">
            <w:pPr>
              <w:spacing w:before="60" w:after="60"/>
              <w:jc w:val="center"/>
              <w:rPr>
                <w:rFonts w:ascii="Times New Roman" w:eastAsia="Times New Roman" w:hAnsi="Times New Roman" w:cs="Times New Roman"/>
                <w:kern w:val="0"/>
                <w:sz w:val="20"/>
                <w:szCs w:val="20"/>
                <w:lang w:eastAsia="tr-TR"/>
                <w14:ligatures w14:val="none"/>
              </w:rPr>
            </w:pPr>
            <w:r w:rsidRPr="003C25B8">
              <w:rPr>
                <w:rFonts w:ascii="Times New Roman" w:eastAsia="Times New Roman" w:hAnsi="Times New Roman" w:cs="Times New Roman"/>
                <w:kern w:val="0"/>
                <w:sz w:val="20"/>
                <w:szCs w:val="20"/>
                <w:lang w:eastAsia="tr-TR"/>
                <w14:ligatures w14:val="none"/>
              </w:rPr>
              <w:t>0.736</w:t>
            </w:r>
          </w:p>
        </w:tc>
        <w:tc>
          <w:tcPr>
            <w:tcW w:w="5956" w:type="dxa"/>
            <w:vAlign w:val="center"/>
          </w:tcPr>
          <w:p w:rsidR="00D5064E" w:rsidRPr="003C25B8" w:rsidRDefault="00D5064E" w:rsidP="00125743">
            <w:pPr>
              <w:spacing w:before="60" w:after="60"/>
              <w:rPr>
                <w:rFonts w:ascii="Times New Roman" w:eastAsia="Times New Roman" w:hAnsi="Times New Roman" w:cs="Times New Roman"/>
                <w:kern w:val="0"/>
                <w:sz w:val="20"/>
                <w:szCs w:val="20"/>
                <w:lang w:eastAsia="tr-TR"/>
                <w14:ligatures w14:val="none"/>
              </w:rPr>
            </w:pPr>
            <w:r w:rsidRPr="003C25B8">
              <w:rPr>
                <w:rFonts w:ascii="Times New Roman" w:eastAsia="Times New Roman" w:hAnsi="Times New Roman" w:cs="Times New Roman"/>
                <w:kern w:val="0"/>
                <w:sz w:val="20"/>
                <w:szCs w:val="20"/>
                <w:lang w:eastAsia="tr-TR"/>
                <w14:ligatures w14:val="none"/>
              </w:rPr>
              <w:t>Predictor: SOFA score at ICU admission; outcome: observed 30-day all-cause mortality</w:t>
            </w:r>
            <w:r w:rsidR="00BD07A6">
              <w:rPr>
                <w:rFonts w:ascii="Times New Roman" w:eastAsia="Times New Roman" w:hAnsi="Times New Roman" w:cs="Times New Roman"/>
                <w:kern w:val="0"/>
                <w:sz w:val="20"/>
                <w:szCs w:val="20"/>
                <w:lang w:eastAsia="tr-TR"/>
                <w14:ligatures w14:val="none"/>
              </w:rPr>
              <w:t xml:space="preserve">. </w:t>
            </w:r>
            <w:r w:rsidR="00BD07A6" w:rsidRPr="00BD07A6">
              <w:rPr>
                <w:rFonts w:ascii="Times New Roman" w:eastAsia="Times New Roman" w:hAnsi="Times New Roman" w:cs="Times New Roman"/>
                <w:kern w:val="0"/>
                <w:sz w:val="20"/>
                <w:szCs w:val="20"/>
                <w:lang w:eastAsia="tr-TR"/>
                <w14:ligatures w14:val="none"/>
              </w:rPr>
              <w:t>This binary AUROC did not account for event timing or censoring and is therefore not directly comparable with Harrell’s concordance statistic from the landmark Cox models.</w:t>
            </w:r>
          </w:p>
        </w:tc>
      </w:tr>
      <w:tr w:rsidR="00D5064E" w:rsidRPr="00D5064E" w:rsidTr="00125743">
        <w:tc>
          <w:tcPr>
            <w:tcW w:w="6096" w:type="dxa"/>
            <w:vAlign w:val="center"/>
          </w:tcPr>
          <w:p w:rsidR="00D5064E" w:rsidRPr="003C25B8" w:rsidRDefault="00D5064E" w:rsidP="00125743">
            <w:pPr>
              <w:spacing w:before="60" w:after="60"/>
              <w:rPr>
                <w:rFonts w:ascii="Times New Roman" w:eastAsia="Times New Roman" w:hAnsi="Times New Roman" w:cs="Times New Roman"/>
                <w:b/>
                <w:bCs/>
                <w:kern w:val="0"/>
                <w:sz w:val="20"/>
                <w:szCs w:val="20"/>
                <w:lang w:eastAsia="tr-TR"/>
                <w14:ligatures w14:val="none"/>
              </w:rPr>
            </w:pPr>
            <w:r w:rsidRPr="003C25B8">
              <w:rPr>
                <w:rFonts w:ascii="Times New Roman" w:eastAsia="Times New Roman" w:hAnsi="Times New Roman" w:cs="Times New Roman"/>
                <w:b/>
                <w:bCs/>
                <w:kern w:val="0"/>
                <w:sz w:val="20"/>
                <w:szCs w:val="20"/>
                <w:lang w:eastAsia="tr-TR"/>
                <w14:ligatures w14:val="none"/>
              </w:rPr>
              <w:t>Calibration-in-the-large</w:t>
            </w:r>
          </w:p>
        </w:tc>
        <w:tc>
          <w:tcPr>
            <w:tcW w:w="1842" w:type="dxa"/>
            <w:vAlign w:val="center"/>
          </w:tcPr>
          <w:p w:rsidR="00D5064E" w:rsidRPr="003C25B8" w:rsidRDefault="00D5064E" w:rsidP="00125743">
            <w:pPr>
              <w:spacing w:before="60" w:after="60"/>
              <w:jc w:val="center"/>
              <w:rPr>
                <w:rFonts w:ascii="Times New Roman" w:eastAsia="Times New Roman" w:hAnsi="Times New Roman" w:cs="Times New Roman"/>
                <w:kern w:val="0"/>
                <w:sz w:val="20"/>
                <w:szCs w:val="20"/>
                <w:lang w:eastAsia="tr-TR"/>
                <w14:ligatures w14:val="none"/>
              </w:rPr>
            </w:pPr>
            <w:r w:rsidRPr="003C25B8">
              <w:rPr>
                <w:rFonts w:ascii="Times New Roman" w:eastAsia="Times New Roman" w:hAnsi="Times New Roman" w:cs="Times New Roman"/>
                <w:kern w:val="0"/>
                <w:sz w:val="20"/>
                <w:szCs w:val="20"/>
                <w:lang w:eastAsia="tr-TR"/>
                <w14:ligatures w14:val="none"/>
              </w:rPr>
              <w:t>−0.52</w:t>
            </w:r>
          </w:p>
        </w:tc>
        <w:tc>
          <w:tcPr>
            <w:tcW w:w="5956" w:type="dxa"/>
            <w:vAlign w:val="center"/>
          </w:tcPr>
          <w:p w:rsidR="00D5064E" w:rsidRPr="003C25B8" w:rsidRDefault="00D5064E" w:rsidP="00125743">
            <w:pPr>
              <w:spacing w:before="60" w:after="60"/>
              <w:rPr>
                <w:rFonts w:ascii="Times New Roman" w:eastAsia="Times New Roman" w:hAnsi="Times New Roman" w:cs="Times New Roman"/>
                <w:kern w:val="0"/>
                <w:sz w:val="20"/>
                <w:szCs w:val="20"/>
                <w:lang w:eastAsia="tr-TR"/>
                <w14:ligatures w14:val="none"/>
              </w:rPr>
            </w:pPr>
            <w:r w:rsidRPr="003C25B8">
              <w:rPr>
                <w:rFonts w:ascii="Times New Roman" w:eastAsia="Times New Roman" w:hAnsi="Times New Roman" w:cs="Times New Roman"/>
                <w:kern w:val="0"/>
                <w:sz w:val="20"/>
                <w:szCs w:val="20"/>
                <w:lang w:eastAsia="tr-TR"/>
                <w14:ligatures w14:val="none"/>
              </w:rPr>
              <w:t>Intercept from a logistic calibration model with the logit of APACHE II–predicted mortality probability included as an offset</w:t>
            </w:r>
          </w:p>
        </w:tc>
      </w:tr>
      <w:tr w:rsidR="00196312" w:rsidRPr="00D5064E" w:rsidTr="00196312">
        <w:tc>
          <w:tcPr>
            <w:tcW w:w="6096" w:type="dxa"/>
            <w:vAlign w:val="center"/>
          </w:tcPr>
          <w:p w:rsidR="00196312" w:rsidRPr="003C25B8" w:rsidRDefault="00196312" w:rsidP="00125743">
            <w:pPr>
              <w:spacing w:before="60" w:after="60"/>
              <w:rPr>
                <w:rFonts w:ascii="Times New Roman" w:eastAsia="Times New Roman" w:hAnsi="Times New Roman" w:cs="Times New Roman"/>
                <w:b/>
                <w:bCs/>
                <w:kern w:val="0"/>
                <w:sz w:val="20"/>
                <w:szCs w:val="20"/>
                <w:lang w:eastAsia="tr-TR"/>
                <w14:ligatures w14:val="none"/>
              </w:rPr>
            </w:pPr>
            <w:r w:rsidRPr="00196312">
              <w:rPr>
                <w:rFonts w:ascii="Times New Roman" w:eastAsia="Times New Roman" w:hAnsi="Times New Roman" w:cs="Times New Roman"/>
                <w:b/>
                <w:bCs/>
                <w:kern w:val="0"/>
                <w:sz w:val="20"/>
                <w:szCs w:val="20"/>
                <w:lang w:eastAsia="tr-TR"/>
                <w14:ligatures w14:val="none"/>
              </w:rPr>
              <w:t>95% CI for calibration-in-the-large</w:t>
            </w:r>
          </w:p>
        </w:tc>
        <w:tc>
          <w:tcPr>
            <w:tcW w:w="1842" w:type="dxa"/>
            <w:vAlign w:val="center"/>
          </w:tcPr>
          <w:p w:rsidR="00196312" w:rsidRPr="003C25B8" w:rsidRDefault="00196312" w:rsidP="00125743">
            <w:pPr>
              <w:spacing w:before="60" w:after="60"/>
              <w:jc w:val="center"/>
              <w:rPr>
                <w:rFonts w:ascii="Times New Roman" w:eastAsia="Times New Roman" w:hAnsi="Times New Roman" w:cs="Times New Roman"/>
                <w:kern w:val="0"/>
                <w:sz w:val="20"/>
                <w:szCs w:val="20"/>
                <w:lang w:eastAsia="tr-TR"/>
                <w14:ligatures w14:val="none"/>
              </w:rPr>
            </w:pPr>
            <w:r w:rsidRPr="00196312">
              <w:rPr>
                <w:rFonts w:ascii="Times New Roman" w:eastAsia="Times New Roman" w:hAnsi="Times New Roman" w:cs="Times New Roman"/>
                <w:kern w:val="0"/>
                <w:sz w:val="20"/>
                <w:szCs w:val="20"/>
                <w:lang w:eastAsia="tr-TR"/>
                <w14:ligatures w14:val="none"/>
              </w:rPr>
              <w:t xml:space="preserve">−0.64 </w:t>
            </w:r>
            <w:r>
              <w:rPr>
                <w:rFonts w:ascii="Times New Roman" w:eastAsia="Times New Roman" w:hAnsi="Times New Roman" w:cs="Times New Roman"/>
                <w:kern w:val="0"/>
                <w:sz w:val="20"/>
                <w:szCs w:val="20"/>
                <w:lang w:eastAsia="tr-TR"/>
                <w14:ligatures w14:val="none"/>
              </w:rPr>
              <w:t xml:space="preserve">- </w:t>
            </w:r>
            <w:r w:rsidRPr="00196312">
              <w:rPr>
                <w:rFonts w:ascii="Times New Roman" w:eastAsia="Times New Roman" w:hAnsi="Times New Roman" w:cs="Times New Roman"/>
                <w:kern w:val="0"/>
                <w:sz w:val="20"/>
                <w:szCs w:val="20"/>
                <w:lang w:eastAsia="tr-TR"/>
                <w14:ligatures w14:val="none"/>
              </w:rPr>
              <w:t>−0.41</w:t>
            </w:r>
          </w:p>
        </w:tc>
        <w:tc>
          <w:tcPr>
            <w:tcW w:w="5956" w:type="dxa"/>
            <w:vAlign w:val="center"/>
          </w:tcPr>
          <w:p w:rsidR="00196312" w:rsidRPr="003C25B8" w:rsidRDefault="00196312" w:rsidP="00125743">
            <w:pPr>
              <w:spacing w:before="60" w:after="60"/>
              <w:rPr>
                <w:rFonts w:ascii="Times New Roman" w:eastAsia="Times New Roman" w:hAnsi="Times New Roman" w:cs="Times New Roman"/>
                <w:kern w:val="0"/>
                <w:sz w:val="20"/>
                <w:szCs w:val="20"/>
                <w:lang w:eastAsia="tr-TR"/>
                <w14:ligatures w14:val="none"/>
              </w:rPr>
            </w:pPr>
            <w:r w:rsidRPr="00196312">
              <w:rPr>
                <w:rFonts w:ascii="Times New Roman" w:eastAsia="Times New Roman" w:hAnsi="Times New Roman" w:cs="Times New Roman"/>
                <w:kern w:val="0"/>
                <w:sz w:val="20"/>
                <w:szCs w:val="20"/>
                <w:lang w:eastAsia="tr-TR"/>
                <w14:ligatures w14:val="none"/>
              </w:rPr>
              <w:t>Wald 95% CI derived from the standard error of the intercept in the logistic calibration model</w:t>
            </w:r>
          </w:p>
        </w:tc>
      </w:tr>
      <w:tr w:rsidR="008C1F05" w:rsidRPr="00D5064E" w:rsidTr="00196312">
        <w:tc>
          <w:tcPr>
            <w:tcW w:w="6096" w:type="dxa"/>
            <w:vAlign w:val="center"/>
          </w:tcPr>
          <w:p w:rsidR="008C1F05" w:rsidRPr="003C25B8" w:rsidRDefault="008C1F05" w:rsidP="00125743">
            <w:pPr>
              <w:spacing w:before="60" w:after="60"/>
              <w:rPr>
                <w:rFonts w:ascii="Times New Roman" w:eastAsia="Times New Roman" w:hAnsi="Times New Roman" w:cs="Times New Roman"/>
                <w:b/>
                <w:bCs/>
                <w:kern w:val="0"/>
                <w:sz w:val="20"/>
                <w:szCs w:val="20"/>
                <w:lang w:eastAsia="tr-TR"/>
                <w14:ligatures w14:val="none"/>
              </w:rPr>
            </w:pPr>
            <w:r w:rsidRPr="008C1F05">
              <w:rPr>
                <w:rFonts w:ascii="Times New Roman" w:eastAsia="Times New Roman" w:hAnsi="Times New Roman" w:cs="Times New Roman"/>
                <w:b/>
                <w:bCs/>
                <w:kern w:val="0"/>
                <w:sz w:val="20"/>
                <w:szCs w:val="20"/>
                <w:lang w:eastAsia="tr-TR"/>
                <w14:ligatures w14:val="none"/>
              </w:rPr>
              <w:t>Calibration slope</w:t>
            </w:r>
          </w:p>
        </w:tc>
        <w:tc>
          <w:tcPr>
            <w:tcW w:w="1842" w:type="dxa"/>
            <w:vAlign w:val="center"/>
          </w:tcPr>
          <w:p w:rsidR="008C1F05" w:rsidRPr="003C25B8" w:rsidRDefault="008C1F05" w:rsidP="00125743">
            <w:pPr>
              <w:spacing w:before="60" w:after="60"/>
              <w:jc w:val="center"/>
              <w:rPr>
                <w:rFonts w:ascii="Times New Roman" w:eastAsia="Times New Roman" w:hAnsi="Times New Roman" w:cs="Times New Roman"/>
                <w:kern w:val="0"/>
                <w:sz w:val="20"/>
                <w:szCs w:val="20"/>
                <w:lang w:eastAsia="tr-TR"/>
                <w14:ligatures w14:val="none"/>
              </w:rPr>
            </w:pPr>
            <w:r w:rsidRPr="008C1F05">
              <w:rPr>
                <w:rFonts w:ascii="Times New Roman" w:eastAsia="Times New Roman" w:hAnsi="Times New Roman" w:cs="Times New Roman"/>
                <w:kern w:val="0"/>
                <w:sz w:val="20"/>
                <w:szCs w:val="20"/>
                <w:lang w:eastAsia="tr-TR"/>
                <w14:ligatures w14:val="none"/>
              </w:rPr>
              <w:t>0.72</w:t>
            </w:r>
          </w:p>
        </w:tc>
        <w:tc>
          <w:tcPr>
            <w:tcW w:w="5956" w:type="dxa"/>
            <w:vAlign w:val="center"/>
          </w:tcPr>
          <w:p w:rsidR="008C1F05" w:rsidRPr="003C25B8" w:rsidRDefault="008C1F05" w:rsidP="00125743">
            <w:pPr>
              <w:spacing w:before="60" w:after="60"/>
              <w:rPr>
                <w:rFonts w:ascii="Times New Roman" w:eastAsia="Times New Roman" w:hAnsi="Times New Roman" w:cs="Times New Roman"/>
                <w:kern w:val="0"/>
                <w:sz w:val="20"/>
                <w:szCs w:val="20"/>
                <w:lang w:eastAsia="tr-TR"/>
                <w14:ligatures w14:val="none"/>
              </w:rPr>
            </w:pPr>
            <w:r w:rsidRPr="008C1F05">
              <w:rPr>
                <w:rFonts w:ascii="Times New Roman" w:eastAsia="Times New Roman" w:hAnsi="Times New Roman" w:cs="Times New Roman"/>
                <w:kern w:val="0"/>
                <w:sz w:val="20"/>
                <w:szCs w:val="20"/>
                <w:lang w:eastAsia="tr-TR"/>
                <w14:ligatures w14:val="none"/>
              </w:rPr>
              <w:t>Slope from a logistic regression model with observed 30-day mortality as the outcome and the logit of the recorded APACHE II–predicted mortality probability as the predictor</w:t>
            </w:r>
          </w:p>
        </w:tc>
      </w:tr>
      <w:tr w:rsidR="00196312" w:rsidRPr="00D5064E" w:rsidTr="00196312">
        <w:tc>
          <w:tcPr>
            <w:tcW w:w="6096" w:type="dxa"/>
            <w:tcBorders>
              <w:bottom w:val="single" w:sz="18" w:space="0" w:color="auto"/>
            </w:tcBorders>
            <w:vAlign w:val="center"/>
          </w:tcPr>
          <w:p w:rsidR="00196312" w:rsidRPr="008C1F05" w:rsidRDefault="00196312" w:rsidP="00125743">
            <w:pPr>
              <w:spacing w:before="60" w:after="60"/>
              <w:rPr>
                <w:rFonts w:ascii="Times New Roman" w:eastAsia="Times New Roman" w:hAnsi="Times New Roman" w:cs="Times New Roman"/>
                <w:b/>
                <w:bCs/>
                <w:kern w:val="0"/>
                <w:sz w:val="20"/>
                <w:szCs w:val="20"/>
                <w:lang w:eastAsia="tr-TR"/>
                <w14:ligatures w14:val="none"/>
              </w:rPr>
            </w:pPr>
            <w:r w:rsidRPr="00196312">
              <w:rPr>
                <w:rFonts w:ascii="Times New Roman" w:eastAsia="Times New Roman" w:hAnsi="Times New Roman" w:cs="Times New Roman"/>
                <w:b/>
                <w:bCs/>
                <w:kern w:val="0"/>
                <w:sz w:val="20"/>
                <w:szCs w:val="20"/>
                <w:lang w:eastAsia="tr-TR"/>
                <w14:ligatures w14:val="none"/>
              </w:rPr>
              <w:t>95% CI for calibration slope</w:t>
            </w:r>
          </w:p>
        </w:tc>
        <w:tc>
          <w:tcPr>
            <w:tcW w:w="1842" w:type="dxa"/>
            <w:tcBorders>
              <w:bottom w:val="single" w:sz="18" w:space="0" w:color="auto"/>
            </w:tcBorders>
            <w:vAlign w:val="center"/>
          </w:tcPr>
          <w:p w:rsidR="00196312" w:rsidRPr="008C1F05" w:rsidRDefault="00196312" w:rsidP="00125743">
            <w:pPr>
              <w:spacing w:before="60" w:after="60"/>
              <w:jc w:val="center"/>
              <w:rPr>
                <w:rFonts w:ascii="Times New Roman" w:eastAsia="Times New Roman" w:hAnsi="Times New Roman" w:cs="Times New Roman"/>
                <w:kern w:val="0"/>
                <w:sz w:val="20"/>
                <w:szCs w:val="20"/>
                <w:lang w:eastAsia="tr-TR"/>
                <w14:ligatures w14:val="none"/>
              </w:rPr>
            </w:pPr>
            <w:r w:rsidRPr="00196312">
              <w:rPr>
                <w:rFonts w:ascii="Times New Roman" w:eastAsia="Times New Roman" w:hAnsi="Times New Roman" w:cs="Times New Roman"/>
                <w:kern w:val="0"/>
                <w:sz w:val="20"/>
                <w:szCs w:val="20"/>
                <w:lang w:eastAsia="tr-TR"/>
                <w14:ligatures w14:val="none"/>
              </w:rPr>
              <w:t xml:space="preserve">0.59 </w:t>
            </w:r>
            <w:r>
              <w:rPr>
                <w:rFonts w:ascii="Times New Roman" w:eastAsia="Times New Roman" w:hAnsi="Times New Roman" w:cs="Times New Roman"/>
                <w:kern w:val="0"/>
                <w:sz w:val="20"/>
                <w:szCs w:val="20"/>
                <w:lang w:eastAsia="tr-TR"/>
                <w14:ligatures w14:val="none"/>
              </w:rPr>
              <w:t>-</w:t>
            </w:r>
            <w:r w:rsidRPr="00196312">
              <w:rPr>
                <w:rFonts w:ascii="Times New Roman" w:eastAsia="Times New Roman" w:hAnsi="Times New Roman" w:cs="Times New Roman"/>
                <w:kern w:val="0"/>
                <w:sz w:val="20"/>
                <w:szCs w:val="20"/>
                <w:lang w:eastAsia="tr-TR"/>
                <w14:ligatures w14:val="none"/>
              </w:rPr>
              <w:t xml:space="preserve"> 0.84</w:t>
            </w:r>
          </w:p>
        </w:tc>
        <w:tc>
          <w:tcPr>
            <w:tcW w:w="5956" w:type="dxa"/>
            <w:tcBorders>
              <w:bottom w:val="single" w:sz="18" w:space="0" w:color="auto"/>
            </w:tcBorders>
            <w:vAlign w:val="center"/>
          </w:tcPr>
          <w:p w:rsidR="00196312" w:rsidRPr="008C1F05" w:rsidRDefault="00196312" w:rsidP="00125743">
            <w:pPr>
              <w:spacing w:before="60" w:after="60"/>
              <w:rPr>
                <w:rFonts w:ascii="Times New Roman" w:eastAsia="Times New Roman" w:hAnsi="Times New Roman" w:cs="Times New Roman"/>
                <w:kern w:val="0"/>
                <w:sz w:val="20"/>
                <w:szCs w:val="20"/>
                <w:lang w:eastAsia="tr-TR"/>
                <w14:ligatures w14:val="none"/>
              </w:rPr>
            </w:pPr>
            <w:r w:rsidRPr="00196312">
              <w:rPr>
                <w:rFonts w:ascii="Times New Roman" w:eastAsia="Times New Roman" w:hAnsi="Times New Roman" w:cs="Times New Roman"/>
                <w:kern w:val="0"/>
                <w:sz w:val="20"/>
                <w:szCs w:val="20"/>
                <w:lang w:eastAsia="tr-TR"/>
                <w14:ligatures w14:val="none"/>
              </w:rPr>
              <w:t>Wald 95% CI derived from the standard error of the calibration slope coefficient</w:t>
            </w:r>
          </w:p>
        </w:tc>
      </w:tr>
      <w:tr w:rsidR="00D5064E" w:rsidRPr="00D5064E" w:rsidTr="00125743">
        <w:tc>
          <w:tcPr>
            <w:tcW w:w="13894" w:type="dxa"/>
            <w:gridSpan w:val="3"/>
            <w:tcBorders>
              <w:top w:val="single" w:sz="18" w:space="0" w:color="auto"/>
              <w:bottom w:val="single" w:sz="18" w:space="0" w:color="auto"/>
            </w:tcBorders>
          </w:tcPr>
          <w:p w:rsidR="008C1F05" w:rsidRDefault="008C1F05" w:rsidP="00D5064E">
            <w:pPr>
              <w:spacing w:before="60" w:after="60"/>
              <w:jc w:val="both"/>
              <w:rPr>
                <w:rFonts w:ascii="Times New Roman" w:hAnsi="Times New Roman" w:cs="Times New Roman"/>
                <w:sz w:val="20"/>
                <w:szCs w:val="20"/>
              </w:rPr>
            </w:pPr>
            <w:r w:rsidRPr="008C1F05">
              <w:rPr>
                <w:rFonts w:ascii="Times New Roman" w:hAnsi="Times New Roman" w:cs="Times New Roman"/>
                <w:sz w:val="20"/>
                <w:szCs w:val="20"/>
              </w:rPr>
              <w:lastRenderedPageBreak/>
              <w:t xml:space="preserve">APACHE II: Acute Physiology and Chronic Health Evaluation II; AUROC: area under the receiver operating characteristic curve; CI: confidence interval; IQR: interquartile range; SMR: standardised mortality ratio; SOFA: Sequential Organ Failure Assessment. </w:t>
            </w:r>
          </w:p>
          <w:p w:rsidR="00D5064E" w:rsidRPr="00D5064E" w:rsidRDefault="00D6640C" w:rsidP="00D5064E">
            <w:pPr>
              <w:spacing w:before="60" w:after="60"/>
              <w:jc w:val="both"/>
              <w:rPr>
                <w:rFonts w:ascii="Times New Roman" w:hAnsi="Times New Roman" w:cs="Times New Roman"/>
                <w:sz w:val="20"/>
                <w:szCs w:val="20"/>
              </w:rPr>
            </w:pPr>
            <w:r w:rsidRPr="00D6640C">
              <w:rPr>
                <w:rFonts w:ascii="Times New Roman" w:hAnsi="Times New Roman" w:cs="Times New Roman"/>
                <w:sz w:val="20"/>
                <w:szCs w:val="20"/>
              </w:rPr>
              <w:t>Expected deaths were calculated by summing the locally recorded individual APACHE II–predicted mortality probabilities; the mean was calculated as expected deaths divided by the analytic cohort size (n=1,529). As detailed in the Data collection subsection of the Methods, these probabilities could not be centrally reconstructed and may have been generated using different local methods. Accordingly, the analyses are descriptive and do not constitute a formal assessment, external validation or recalibration of APACHE II.</w:t>
            </w:r>
          </w:p>
        </w:tc>
      </w:tr>
    </w:tbl>
    <w:p w:rsidR="00D5064E" w:rsidRDefault="00D5064E" w:rsidP="00A6346F"/>
    <w:sectPr w:rsidR="00D5064E" w:rsidSect="00D5064E">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289"/>
    <w:rsid w:val="00002B45"/>
    <w:rsid w:val="000058BE"/>
    <w:rsid w:val="00017FA2"/>
    <w:rsid w:val="00020473"/>
    <w:rsid w:val="00021D16"/>
    <w:rsid w:val="00042FE8"/>
    <w:rsid w:val="00047289"/>
    <w:rsid w:val="00053F44"/>
    <w:rsid w:val="00060A52"/>
    <w:rsid w:val="00066FCD"/>
    <w:rsid w:val="00071EC4"/>
    <w:rsid w:val="000909BC"/>
    <w:rsid w:val="000B3D66"/>
    <w:rsid w:val="000B5DD3"/>
    <w:rsid w:val="000C44AF"/>
    <w:rsid w:val="000F2F54"/>
    <w:rsid w:val="000F6086"/>
    <w:rsid w:val="00102200"/>
    <w:rsid w:val="001037F9"/>
    <w:rsid w:val="001046F2"/>
    <w:rsid w:val="00107516"/>
    <w:rsid w:val="00123DCD"/>
    <w:rsid w:val="00125743"/>
    <w:rsid w:val="001324DD"/>
    <w:rsid w:val="00140ACD"/>
    <w:rsid w:val="00143DF1"/>
    <w:rsid w:val="0015021A"/>
    <w:rsid w:val="00191735"/>
    <w:rsid w:val="00196312"/>
    <w:rsid w:val="001A521F"/>
    <w:rsid w:val="001A7107"/>
    <w:rsid w:val="001B537F"/>
    <w:rsid w:val="001D49DE"/>
    <w:rsid w:val="002036E2"/>
    <w:rsid w:val="00205BC1"/>
    <w:rsid w:val="0021270E"/>
    <w:rsid w:val="00215DF3"/>
    <w:rsid w:val="00260701"/>
    <w:rsid w:val="00265A31"/>
    <w:rsid w:val="0027401C"/>
    <w:rsid w:val="00276C5B"/>
    <w:rsid w:val="00283CC5"/>
    <w:rsid w:val="002B11B9"/>
    <w:rsid w:val="002B37C7"/>
    <w:rsid w:val="002C116E"/>
    <w:rsid w:val="002C2083"/>
    <w:rsid w:val="002C246D"/>
    <w:rsid w:val="002D3E04"/>
    <w:rsid w:val="002F0472"/>
    <w:rsid w:val="00320341"/>
    <w:rsid w:val="00342C0B"/>
    <w:rsid w:val="003463AB"/>
    <w:rsid w:val="003519A4"/>
    <w:rsid w:val="00386F59"/>
    <w:rsid w:val="003A7CE4"/>
    <w:rsid w:val="003B64A0"/>
    <w:rsid w:val="003C4DAD"/>
    <w:rsid w:val="003D0343"/>
    <w:rsid w:val="003F355F"/>
    <w:rsid w:val="004037E7"/>
    <w:rsid w:val="0041263A"/>
    <w:rsid w:val="0041318C"/>
    <w:rsid w:val="00444174"/>
    <w:rsid w:val="004448DA"/>
    <w:rsid w:val="004527BF"/>
    <w:rsid w:val="00460F23"/>
    <w:rsid w:val="00465BD6"/>
    <w:rsid w:val="00465F22"/>
    <w:rsid w:val="00477E76"/>
    <w:rsid w:val="00486912"/>
    <w:rsid w:val="00487F95"/>
    <w:rsid w:val="004C15CD"/>
    <w:rsid w:val="004C7C1D"/>
    <w:rsid w:val="004D221D"/>
    <w:rsid w:val="004D6976"/>
    <w:rsid w:val="004E5349"/>
    <w:rsid w:val="004F042B"/>
    <w:rsid w:val="00526ED7"/>
    <w:rsid w:val="00553CFB"/>
    <w:rsid w:val="005568D7"/>
    <w:rsid w:val="00561BEB"/>
    <w:rsid w:val="00584587"/>
    <w:rsid w:val="00592D1C"/>
    <w:rsid w:val="005A1961"/>
    <w:rsid w:val="005C0B32"/>
    <w:rsid w:val="005E0A01"/>
    <w:rsid w:val="005E6F57"/>
    <w:rsid w:val="005F0582"/>
    <w:rsid w:val="00605741"/>
    <w:rsid w:val="00611D84"/>
    <w:rsid w:val="00616288"/>
    <w:rsid w:val="006177EF"/>
    <w:rsid w:val="00617B5B"/>
    <w:rsid w:val="006275C8"/>
    <w:rsid w:val="006418C5"/>
    <w:rsid w:val="006472F9"/>
    <w:rsid w:val="006511AD"/>
    <w:rsid w:val="006535E3"/>
    <w:rsid w:val="00660A4F"/>
    <w:rsid w:val="00662DD9"/>
    <w:rsid w:val="0067756A"/>
    <w:rsid w:val="00686EA9"/>
    <w:rsid w:val="00694D7F"/>
    <w:rsid w:val="00697B74"/>
    <w:rsid w:val="006A21E6"/>
    <w:rsid w:val="006C20DA"/>
    <w:rsid w:val="006C72C9"/>
    <w:rsid w:val="006E6572"/>
    <w:rsid w:val="006F0B72"/>
    <w:rsid w:val="00703EFC"/>
    <w:rsid w:val="00712D95"/>
    <w:rsid w:val="00747981"/>
    <w:rsid w:val="007557E0"/>
    <w:rsid w:val="00757CAA"/>
    <w:rsid w:val="00761964"/>
    <w:rsid w:val="007714EE"/>
    <w:rsid w:val="007731FF"/>
    <w:rsid w:val="00774A14"/>
    <w:rsid w:val="00783B3B"/>
    <w:rsid w:val="0079373F"/>
    <w:rsid w:val="007B0D93"/>
    <w:rsid w:val="007E169C"/>
    <w:rsid w:val="008001BA"/>
    <w:rsid w:val="00813612"/>
    <w:rsid w:val="00823791"/>
    <w:rsid w:val="008410FD"/>
    <w:rsid w:val="00857D58"/>
    <w:rsid w:val="008873B3"/>
    <w:rsid w:val="00897D39"/>
    <w:rsid w:val="008A7025"/>
    <w:rsid w:val="008C1F05"/>
    <w:rsid w:val="008D5615"/>
    <w:rsid w:val="008F4900"/>
    <w:rsid w:val="00901F8E"/>
    <w:rsid w:val="00905330"/>
    <w:rsid w:val="00907BB7"/>
    <w:rsid w:val="00913616"/>
    <w:rsid w:val="009237F5"/>
    <w:rsid w:val="00923F78"/>
    <w:rsid w:val="00940B3F"/>
    <w:rsid w:val="009561A4"/>
    <w:rsid w:val="0096699A"/>
    <w:rsid w:val="00972A29"/>
    <w:rsid w:val="00973E20"/>
    <w:rsid w:val="00984B8C"/>
    <w:rsid w:val="00984C87"/>
    <w:rsid w:val="00992C4F"/>
    <w:rsid w:val="009A66F3"/>
    <w:rsid w:val="009A6E4F"/>
    <w:rsid w:val="009B238D"/>
    <w:rsid w:val="009B3F5A"/>
    <w:rsid w:val="009B4C4C"/>
    <w:rsid w:val="009B5F8D"/>
    <w:rsid w:val="009C237B"/>
    <w:rsid w:val="00A01643"/>
    <w:rsid w:val="00A12DD2"/>
    <w:rsid w:val="00A22C5E"/>
    <w:rsid w:val="00A27397"/>
    <w:rsid w:val="00A4558A"/>
    <w:rsid w:val="00A62799"/>
    <w:rsid w:val="00A6346F"/>
    <w:rsid w:val="00A90A99"/>
    <w:rsid w:val="00A96EF7"/>
    <w:rsid w:val="00AA7FC7"/>
    <w:rsid w:val="00AD6942"/>
    <w:rsid w:val="00AE00B0"/>
    <w:rsid w:val="00AE28CB"/>
    <w:rsid w:val="00AE2D46"/>
    <w:rsid w:val="00AE4708"/>
    <w:rsid w:val="00B12C9B"/>
    <w:rsid w:val="00B1632B"/>
    <w:rsid w:val="00B33552"/>
    <w:rsid w:val="00B61E92"/>
    <w:rsid w:val="00B717AA"/>
    <w:rsid w:val="00B773EF"/>
    <w:rsid w:val="00B81D54"/>
    <w:rsid w:val="00B858DD"/>
    <w:rsid w:val="00B862BE"/>
    <w:rsid w:val="00B90BF1"/>
    <w:rsid w:val="00B968FA"/>
    <w:rsid w:val="00B96E9B"/>
    <w:rsid w:val="00BA2BA7"/>
    <w:rsid w:val="00BB0214"/>
    <w:rsid w:val="00BB0F32"/>
    <w:rsid w:val="00BB4896"/>
    <w:rsid w:val="00BD07A6"/>
    <w:rsid w:val="00BD1C50"/>
    <w:rsid w:val="00BF167F"/>
    <w:rsid w:val="00C01AF2"/>
    <w:rsid w:val="00C01C08"/>
    <w:rsid w:val="00C27785"/>
    <w:rsid w:val="00C31846"/>
    <w:rsid w:val="00C41A10"/>
    <w:rsid w:val="00C44D7B"/>
    <w:rsid w:val="00C476F9"/>
    <w:rsid w:val="00C73FE4"/>
    <w:rsid w:val="00C83366"/>
    <w:rsid w:val="00C8437D"/>
    <w:rsid w:val="00C84E00"/>
    <w:rsid w:val="00C873C7"/>
    <w:rsid w:val="00C93211"/>
    <w:rsid w:val="00CA1616"/>
    <w:rsid w:val="00CB2FC0"/>
    <w:rsid w:val="00CC2671"/>
    <w:rsid w:val="00CD15CA"/>
    <w:rsid w:val="00CD22B6"/>
    <w:rsid w:val="00CE1037"/>
    <w:rsid w:val="00D11F67"/>
    <w:rsid w:val="00D13BA3"/>
    <w:rsid w:val="00D14EC6"/>
    <w:rsid w:val="00D20792"/>
    <w:rsid w:val="00D20872"/>
    <w:rsid w:val="00D22172"/>
    <w:rsid w:val="00D2691E"/>
    <w:rsid w:val="00D45D4C"/>
    <w:rsid w:val="00D45EE8"/>
    <w:rsid w:val="00D5064E"/>
    <w:rsid w:val="00D51953"/>
    <w:rsid w:val="00D6115D"/>
    <w:rsid w:val="00D63750"/>
    <w:rsid w:val="00D6640C"/>
    <w:rsid w:val="00D70417"/>
    <w:rsid w:val="00D73F33"/>
    <w:rsid w:val="00D74FC4"/>
    <w:rsid w:val="00DA0148"/>
    <w:rsid w:val="00DB46F7"/>
    <w:rsid w:val="00DB5F1A"/>
    <w:rsid w:val="00DC3365"/>
    <w:rsid w:val="00DD2F29"/>
    <w:rsid w:val="00DD61D2"/>
    <w:rsid w:val="00DE0DDD"/>
    <w:rsid w:val="00DE24E4"/>
    <w:rsid w:val="00DE45F9"/>
    <w:rsid w:val="00DF5726"/>
    <w:rsid w:val="00E121D9"/>
    <w:rsid w:val="00E245B8"/>
    <w:rsid w:val="00E324EB"/>
    <w:rsid w:val="00E41FCC"/>
    <w:rsid w:val="00E44911"/>
    <w:rsid w:val="00E75AAB"/>
    <w:rsid w:val="00E76181"/>
    <w:rsid w:val="00EA4BDE"/>
    <w:rsid w:val="00EB7F00"/>
    <w:rsid w:val="00EC4FA9"/>
    <w:rsid w:val="00EF62E2"/>
    <w:rsid w:val="00F0192D"/>
    <w:rsid w:val="00F0714B"/>
    <w:rsid w:val="00F121DA"/>
    <w:rsid w:val="00F255E3"/>
    <w:rsid w:val="00F2669D"/>
    <w:rsid w:val="00F470C9"/>
    <w:rsid w:val="00F47E22"/>
    <w:rsid w:val="00F552C2"/>
    <w:rsid w:val="00F57F70"/>
    <w:rsid w:val="00F66DC0"/>
    <w:rsid w:val="00F71657"/>
    <w:rsid w:val="00F72F5E"/>
    <w:rsid w:val="00F75E99"/>
    <w:rsid w:val="00F81ABD"/>
    <w:rsid w:val="00F83E0E"/>
    <w:rsid w:val="00FA21F6"/>
    <w:rsid w:val="00FD3AB1"/>
    <w:rsid w:val="00FD6F5D"/>
    <w:rsid w:val="00FE3EC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F3AABC8C-EA8C-664A-8769-290E5ED13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0472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0472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047289"/>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047289"/>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047289"/>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047289"/>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047289"/>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047289"/>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047289"/>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47289"/>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047289"/>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047289"/>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047289"/>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047289"/>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04728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4728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4728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47289"/>
    <w:rPr>
      <w:rFonts w:eastAsiaTheme="majorEastAsia" w:cstheme="majorBidi"/>
      <w:color w:val="272727" w:themeColor="text1" w:themeTint="D8"/>
    </w:rPr>
  </w:style>
  <w:style w:type="paragraph" w:styleId="KonuBal">
    <w:name w:val="Title"/>
    <w:basedOn w:val="Normal"/>
    <w:next w:val="Normal"/>
    <w:link w:val="KonuBalChar"/>
    <w:uiPriority w:val="10"/>
    <w:qFormat/>
    <w:rsid w:val="00047289"/>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4728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47289"/>
    <w:pPr>
      <w:numPr>
        <w:ilvl w:val="1"/>
      </w:numPr>
      <w:spacing w:after="160"/>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4728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47289"/>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047289"/>
    <w:rPr>
      <w:i/>
      <w:iCs/>
      <w:color w:val="404040" w:themeColor="text1" w:themeTint="BF"/>
    </w:rPr>
  </w:style>
  <w:style w:type="paragraph" w:styleId="ListeParagraf">
    <w:name w:val="List Paragraph"/>
    <w:basedOn w:val="Normal"/>
    <w:uiPriority w:val="34"/>
    <w:qFormat/>
    <w:rsid w:val="00047289"/>
    <w:pPr>
      <w:ind w:left="720"/>
      <w:contextualSpacing/>
    </w:pPr>
  </w:style>
  <w:style w:type="character" w:styleId="GlVurgulama">
    <w:name w:val="Intense Emphasis"/>
    <w:basedOn w:val="VarsaylanParagrafYazTipi"/>
    <w:uiPriority w:val="21"/>
    <w:qFormat/>
    <w:rsid w:val="00047289"/>
    <w:rPr>
      <w:i/>
      <w:iCs/>
      <w:color w:val="2F5496" w:themeColor="accent1" w:themeShade="BF"/>
    </w:rPr>
  </w:style>
  <w:style w:type="paragraph" w:styleId="GlAlnt">
    <w:name w:val="Intense Quote"/>
    <w:basedOn w:val="Normal"/>
    <w:next w:val="Normal"/>
    <w:link w:val="GlAlntChar"/>
    <w:uiPriority w:val="30"/>
    <w:qFormat/>
    <w:rsid w:val="000472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047289"/>
    <w:rPr>
      <w:i/>
      <w:iCs/>
      <w:color w:val="2F5496" w:themeColor="accent1" w:themeShade="BF"/>
    </w:rPr>
  </w:style>
  <w:style w:type="character" w:styleId="GlBavuru">
    <w:name w:val="Intense Reference"/>
    <w:basedOn w:val="VarsaylanParagrafYazTipi"/>
    <w:uiPriority w:val="32"/>
    <w:qFormat/>
    <w:rsid w:val="00047289"/>
    <w:rPr>
      <w:b/>
      <w:bCs/>
      <w:smallCaps/>
      <w:color w:val="2F5496" w:themeColor="accent1" w:themeShade="BF"/>
      <w:spacing w:val="5"/>
    </w:rPr>
  </w:style>
  <w:style w:type="table" w:styleId="TabloKlavuzu">
    <w:name w:val="Table Grid"/>
    <w:basedOn w:val="NormalTablo"/>
    <w:uiPriority w:val="39"/>
    <w:rsid w:val="000472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449</Words>
  <Characters>2562</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Umut Kasapoğlu</dc:creator>
  <cp:keywords/>
  <dc:description/>
  <cp:lastModifiedBy>Umut Kasapoğlu</cp:lastModifiedBy>
  <cp:revision>2</cp:revision>
  <dcterms:created xsi:type="dcterms:W3CDTF">2026-08-13T11:29:00Z</dcterms:created>
  <dcterms:modified xsi:type="dcterms:W3CDTF">2026-08-13T11:29:00Z</dcterms:modified>
</cp:coreProperties>
</file>