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62EA2" w:rsidRDefault="00262EA2">
      <w:pPr>
        <w:jc w:val="cente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4"/>
        <w:gridCol w:w="2686"/>
        <w:gridCol w:w="1360"/>
      </w:tblGrid>
      <w:tr w:rsidR="00E10EFA" w:rsidRPr="00321A5D" w:rsidTr="00942F85">
        <w:trPr>
          <w:jc w:val="center"/>
        </w:trPr>
        <w:tc>
          <w:tcPr>
            <w:tcW w:w="10080" w:type="dxa"/>
            <w:gridSpan w:val="3"/>
            <w:tcBorders>
              <w:bottom w:val="single" w:sz="18" w:space="0" w:color="auto"/>
            </w:tcBorders>
            <w:tcMar>
              <w:top w:w="90" w:type="dxa"/>
              <w:left w:w="90" w:type="dxa"/>
              <w:bottom w:w="90" w:type="dxa"/>
              <w:right w:w="90" w:type="dxa"/>
            </w:tcMar>
            <w:vAlign w:val="center"/>
          </w:tcPr>
          <w:p w:rsidR="00E10EFA" w:rsidRPr="00321A5D" w:rsidRDefault="00E10EFA" w:rsidP="00321A5D">
            <w:pPr>
              <w:spacing w:before="60" w:after="60"/>
              <w:jc w:val="both"/>
              <w:rPr>
                <w:rFonts w:ascii="Times New Roman" w:hAnsi="Times New Roman" w:cs="Times New Roman"/>
                <w:sz w:val="20"/>
                <w:szCs w:val="20"/>
              </w:rPr>
            </w:pPr>
            <w:r w:rsidRPr="00321A5D">
              <w:rPr>
                <w:rFonts w:ascii="Times New Roman" w:hAnsi="Times New Roman" w:cs="Times New Roman"/>
                <w:b/>
                <w:sz w:val="20"/>
                <w:szCs w:val="20"/>
              </w:rPr>
              <w:t>Supplementary Table S</w:t>
            </w:r>
            <w:r w:rsidR="005352D2">
              <w:rPr>
                <w:rFonts w:ascii="Times New Roman" w:hAnsi="Times New Roman" w:cs="Times New Roman"/>
                <w:b/>
                <w:sz w:val="20"/>
                <w:szCs w:val="20"/>
              </w:rPr>
              <w:t>6</w:t>
            </w:r>
            <w:r w:rsidRPr="00321A5D">
              <w:rPr>
                <w:rFonts w:ascii="Times New Roman" w:hAnsi="Times New Roman" w:cs="Times New Roman"/>
                <w:b/>
                <w:sz w:val="20"/>
                <w:szCs w:val="20"/>
              </w:rPr>
              <w:t xml:space="preserve">. </w:t>
            </w:r>
            <w:r w:rsidRPr="00321A5D">
              <w:rPr>
                <w:rFonts w:ascii="Times New Roman" w:hAnsi="Times New Roman" w:cs="Times New Roman"/>
                <w:bCs/>
                <w:sz w:val="20"/>
                <w:szCs w:val="20"/>
              </w:rPr>
              <w:t>Univariable Cox proportional hazards analyses for candidate predictors of 30-day all-cause mortality</w:t>
            </w:r>
          </w:p>
        </w:tc>
      </w:tr>
      <w:tr w:rsidR="00262EA2" w:rsidRPr="00321A5D" w:rsidTr="00942F85">
        <w:trPr>
          <w:jc w:val="center"/>
        </w:trPr>
        <w:tc>
          <w:tcPr>
            <w:tcW w:w="6034" w:type="dxa"/>
            <w:tcBorders>
              <w:top w:val="single" w:sz="18" w:space="0" w:color="auto"/>
              <w:bottom w:val="single" w:sz="18" w:space="0" w:color="auto"/>
            </w:tcBorders>
            <w:tcMar>
              <w:top w:w="90" w:type="dxa"/>
              <w:left w:w="90" w:type="dxa"/>
              <w:bottom w:w="90" w:type="dxa"/>
              <w:right w:w="90" w:type="dxa"/>
            </w:tcMar>
            <w:vAlign w:val="center"/>
          </w:tcPr>
          <w:p w:rsidR="00262EA2" w:rsidRPr="00321A5D" w:rsidRDefault="00E10EFA" w:rsidP="00321A5D">
            <w:pPr>
              <w:spacing w:before="60" w:after="60"/>
              <w:rPr>
                <w:rFonts w:ascii="Times New Roman" w:hAnsi="Times New Roman" w:cs="Times New Roman"/>
                <w:sz w:val="20"/>
                <w:szCs w:val="20"/>
              </w:rPr>
            </w:pPr>
            <w:r w:rsidRPr="00321A5D">
              <w:rPr>
                <w:rFonts w:ascii="Times New Roman" w:hAnsi="Times New Roman" w:cs="Times New Roman"/>
                <w:b/>
                <w:sz w:val="20"/>
                <w:szCs w:val="20"/>
              </w:rPr>
              <w:t>Predictor</w:t>
            </w:r>
          </w:p>
        </w:tc>
        <w:tc>
          <w:tcPr>
            <w:tcW w:w="2686" w:type="dxa"/>
            <w:tcBorders>
              <w:top w:val="single" w:sz="18" w:space="0" w:color="auto"/>
              <w:bottom w:val="single" w:sz="18" w:space="0" w:color="auto"/>
            </w:tcBorders>
            <w:tcMar>
              <w:top w:w="90" w:type="dxa"/>
              <w:left w:w="90" w:type="dxa"/>
              <w:bottom w:w="90" w:type="dxa"/>
              <w:right w:w="90" w:type="dxa"/>
            </w:tcMar>
            <w:vAlign w:val="center"/>
          </w:tcPr>
          <w:p w:rsidR="00262EA2" w:rsidRPr="00321A5D" w:rsidRDefault="00000000" w:rsidP="00321A5D">
            <w:pPr>
              <w:spacing w:before="60" w:after="60"/>
              <w:jc w:val="center"/>
              <w:rPr>
                <w:rFonts w:ascii="Times New Roman" w:hAnsi="Times New Roman" w:cs="Times New Roman"/>
                <w:sz w:val="20"/>
                <w:szCs w:val="20"/>
              </w:rPr>
            </w:pPr>
            <w:r w:rsidRPr="00321A5D">
              <w:rPr>
                <w:rFonts w:ascii="Times New Roman" w:hAnsi="Times New Roman" w:cs="Times New Roman"/>
                <w:b/>
                <w:sz w:val="20"/>
                <w:szCs w:val="20"/>
              </w:rPr>
              <w:t>Unadjusted HR (95% CI)</w:t>
            </w:r>
          </w:p>
        </w:tc>
        <w:tc>
          <w:tcPr>
            <w:tcW w:w="1360" w:type="dxa"/>
            <w:tcBorders>
              <w:top w:val="single" w:sz="18" w:space="0" w:color="auto"/>
              <w:bottom w:val="single" w:sz="18" w:space="0" w:color="auto"/>
            </w:tcBorders>
            <w:tcMar>
              <w:top w:w="90" w:type="dxa"/>
              <w:left w:w="90" w:type="dxa"/>
              <w:bottom w:w="90" w:type="dxa"/>
              <w:right w:w="90" w:type="dxa"/>
            </w:tcMar>
            <w:vAlign w:val="center"/>
          </w:tcPr>
          <w:p w:rsidR="00262EA2" w:rsidRPr="00321A5D" w:rsidRDefault="00000000" w:rsidP="00321A5D">
            <w:pPr>
              <w:spacing w:before="60" w:after="60"/>
              <w:jc w:val="center"/>
              <w:rPr>
                <w:rFonts w:ascii="Times New Roman" w:hAnsi="Times New Roman" w:cs="Times New Roman"/>
                <w:sz w:val="20"/>
                <w:szCs w:val="20"/>
              </w:rPr>
            </w:pPr>
            <w:r w:rsidRPr="00321A5D">
              <w:rPr>
                <w:rFonts w:ascii="Times New Roman" w:hAnsi="Times New Roman" w:cs="Times New Roman"/>
                <w:b/>
                <w:sz w:val="20"/>
                <w:szCs w:val="20"/>
              </w:rPr>
              <w:t>p value</w:t>
            </w:r>
          </w:p>
        </w:tc>
      </w:tr>
      <w:tr w:rsidR="00942F85" w:rsidRPr="00321A5D" w:rsidTr="00942F85">
        <w:trPr>
          <w:jc w:val="center"/>
        </w:trPr>
        <w:tc>
          <w:tcPr>
            <w:tcW w:w="6034" w:type="dxa"/>
            <w:tcBorders>
              <w:top w:val="single" w:sz="18" w:space="0" w:color="auto"/>
            </w:tcBorders>
            <w:tcMar>
              <w:top w:w="90" w:type="dxa"/>
              <w:left w:w="90" w:type="dxa"/>
              <w:bottom w:w="90" w:type="dxa"/>
              <w:right w:w="90" w:type="dxa"/>
            </w:tcMar>
            <w:vAlign w:val="center"/>
          </w:tcPr>
          <w:p w:rsidR="00942F85" w:rsidRPr="00321A5D" w:rsidRDefault="00942F85" w:rsidP="00942F85">
            <w:pPr>
              <w:spacing w:before="60" w:after="60"/>
              <w:rPr>
                <w:rFonts w:ascii="Times New Roman" w:hAnsi="Times New Roman" w:cs="Times New Roman"/>
                <w:b/>
                <w:bCs/>
                <w:sz w:val="20"/>
                <w:szCs w:val="20"/>
              </w:rPr>
            </w:pPr>
            <w:r w:rsidRPr="00321A5D">
              <w:rPr>
                <w:rFonts w:ascii="Times New Roman" w:hAnsi="Times New Roman" w:cs="Times New Roman"/>
                <w:b/>
                <w:bCs/>
                <w:sz w:val="20"/>
                <w:szCs w:val="20"/>
              </w:rPr>
              <w:t>Age, per year</w:t>
            </w:r>
          </w:p>
        </w:tc>
        <w:tc>
          <w:tcPr>
            <w:tcW w:w="2686" w:type="dxa"/>
            <w:tcBorders>
              <w:top w:val="single" w:sz="18" w:space="0" w:color="auto"/>
            </w:tcBorders>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1.004 (0.993–1.015)</w:t>
            </w:r>
          </w:p>
        </w:tc>
        <w:tc>
          <w:tcPr>
            <w:tcW w:w="1360" w:type="dxa"/>
            <w:tcBorders>
              <w:top w:val="single" w:sz="18" w:space="0" w:color="auto"/>
            </w:tcBorders>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0.486</w:t>
            </w:r>
          </w:p>
        </w:tc>
      </w:tr>
      <w:tr w:rsidR="00942F85" w:rsidRPr="00321A5D" w:rsidTr="00942F85">
        <w:trPr>
          <w:jc w:val="center"/>
        </w:trPr>
        <w:tc>
          <w:tcPr>
            <w:tcW w:w="6034" w:type="dxa"/>
            <w:tcMar>
              <w:top w:w="90" w:type="dxa"/>
              <w:left w:w="90" w:type="dxa"/>
              <w:bottom w:w="90" w:type="dxa"/>
              <w:right w:w="90" w:type="dxa"/>
            </w:tcMar>
            <w:vAlign w:val="center"/>
          </w:tcPr>
          <w:p w:rsidR="00942F85" w:rsidRPr="00321A5D" w:rsidRDefault="00942F85" w:rsidP="00942F85">
            <w:pPr>
              <w:spacing w:before="60" w:after="60"/>
              <w:rPr>
                <w:rFonts w:ascii="Times New Roman" w:hAnsi="Times New Roman" w:cs="Times New Roman"/>
                <w:b/>
                <w:bCs/>
                <w:sz w:val="20"/>
                <w:szCs w:val="20"/>
              </w:rPr>
            </w:pPr>
            <w:r w:rsidRPr="00321A5D">
              <w:rPr>
                <w:rFonts w:ascii="Times New Roman" w:hAnsi="Times New Roman" w:cs="Times New Roman"/>
                <w:b/>
                <w:bCs/>
                <w:sz w:val="20"/>
                <w:szCs w:val="20"/>
              </w:rPr>
              <w:t>Sex, female vs male</w:t>
            </w:r>
          </w:p>
        </w:tc>
        <w:tc>
          <w:tcPr>
            <w:tcW w:w="2686"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0.895 (0.752–1.066)</w:t>
            </w:r>
          </w:p>
        </w:tc>
        <w:tc>
          <w:tcPr>
            <w:tcW w:w="1360"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0.215</w:t>
            </w:r>
          </w:p>
        </w:tc>
      </w:tr>
      <w:tr w:rsidR="00942F85" w:rsidRPr="00321A5D" w:rsidTr="00942F85">
        <w:trPr>
          <w:jc w:val="center"/>
        </w:trPr>
        <w:tc>
          <w:tcPr>
            <w:tcW w:w="6034" w:type="dxa"/>
            <w:tcMar>
              <w:top w:w="90" w:type="dxa"/>
              <w:left w:w="90" w:type="dxa"/>
              <w:bottom w:w="90" w:type="dxa"/>
              <w:right w:w="90" w:type="dxa"/>
            </w:tcMar>
            <w:vAlign w:val="center"/>
          </w:tcPr>
          <w:p w:rsidR="00942F85" w:rsidRPr="00321A5D" w:rsidRDefault="00942F85" w:rsidP="00942F85">
            <w:pPr>
              <w:spacing w:before="60" w:after="60"/>
              <w:rPr>
                <w:rFonts w:ascii="Times New Roman" w:hAnsi="Times New Roman" w:cs="Times New Roman"/>
                <w:b/>
                <w:bCs/>
                <w:sz w:val="20"/>
                <w:szCs w:val="20"/>
              </w:rPr>
            </w:pPr>
            <w:r w:rsidRPr="00321A5D">
              <w:rPr>
                <w:rFonts w:ascii="Times New Roman" w:hAnsi="Times New Roman" w:cs="Times New Roman"/>
                <w:b/>
                <w:bCs/>
                <w:sz w:val="20"/>
                <w:szCs w:val="20"/>
              </w:rPr>
              <w:t>CFS, per point</w:t>
            </w:r>
          </w:p>
        </w:tc>
        <w:tc>
          <w:tcPr>
            <w:tcW w:w="2686"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1.311 (1.245–1.380)</w:t>
            </w:r>
          </w:p>
        </w:tc>
        <w:tc>
          <w:tcPr>
            <w:tcW w:w="1360"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&lt;0.001</w:t>
            </w:r>
          </w:p>
        </w:tc>
      </w:tr>
      <w:tr w:rsidR="00942F85" w:rsidRPr="00321A5D" w:rsidTr="00942F85">
        <w:trPr>
          <w:jc w:val="center"/>
        </w:trPr>
        <w:tc>
          <w:tcPr>
            <w:tcW w:w="6034" w:type="dxa"/>
            <w:tcMar>
              <w:top w:w="90" w:type="dxa"/>
              <w:left w:w="90" w:type="dxa"/>
              <w:bottom w:w="90" w:type="dxa"/>
              <w:right w:w="90" w:type="dxa"/>
            </w:tcMar>
            <w:vAlign w:val="center"/>
          </w:tcPr>
          <w:p w:rsidR="00942F85" w:rsidRPr="00321A5D" w:rsidRDefault="00942F85" w:rsidP="00942F85">
            <w:pPr>
              <w:spacing w:before="60" w:after="60"/>
              <w:rPr>
                <w:rFonts w:ascii="Times New Roman" w:hAnsi="Times New Roman" w:cs="Times New Roman"/>
                <w:b/>
                <w:bCs/>
                <w:sz w:val="20"/>
                <w:szCs w:val="20"/>
              </w:rPr>
            </w:pPr>
            <w:r w:rsidRPr="00321A5D">
              <w:rPr>
                <w:rFonts w:ascii="Times New Roman" w:hAnsi="Times New Roman" w:cs="Times New Roman"/>
                <w:b/>
                <w:bCs/>
                <w:sz w:val="20"/>
                <w:szCs w:val="20"/>
              </w:rPr>
              <w:t>FRAIL questionnaire, per point</w:t>
            </w:r>
          </w:p>
        </w:tc>
        <w:tc>
          <w:tcPr>
            <w:tcW w:w="2686"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1.354 (1.251–1.465)</w:t>
            </w:r>
          </w:p>
        </w:tc>
        <w:tc>
          <w:tcPr>
            <w:tcW w:w="1360"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&lt;0.001</w:t>
            </w:r>
          </w:p>
        </w:tc>
      </w:tr>
      <w:tr w:rsidR="00942F85" w:rsidRPr="00321A5D" w:rsidTr="00942F85">
        <w:trPr>
          <w:jc w:val="center"/>
        </w:trPr>
        <w:tc>
          <w:tcPr>
            <w:tcW w:w="6034" w:type="dxa"/>
            <w:tcMar>
              <w:top w:w="90" w:type="dxa"/>
              <w:left w:w="90" w:type="dxa"/>
              <w:bottom w:w="90" w:type="dxa"/>
              <w:right w:w="90" w:type="dxa"/>
            </w:tcMar>
            <w:vAlign w:val="center"/>
          </w:tcPr>
          <w:p w:rsidR="00942F85" w:rsidRPr="00321A5D" w:rsidRDefault="00942F85" w:rsidP="00942F85">
            <w:pPr>
              <w:spacing w:before="60" w:after="60"/>
              <w:rPr>
                <w:rFonts w:ascii="Times New Roman" w:hAnsi="Times New Roman" w:cs="Times New Roman"/>
                <w:b/>
                <w:bCs/>
                <w:sz w:val="20"/>
                <w:szCs w:val="20"/>
              </w:rPr>
            </w:pPr>
            <w:r w:rsidRPr="00321A5D">
              <w:rPr>
                <w:rFonts w:ascii="Times New Roman" w:hAnsi="Times New Roman" w:cs="Times New Roman"/>
                <w:b/>
                <w:bCs/>
                <w:sz w:val="20"/>
                <w:szCs w:val="20"/>
              </w:rPr>
              <w:t>Katz ADL, per point</w:t>
            </w:r>
          </w:p>
        </w:tc>
        <w:tc>
          <w:tcPr>
            <w:tcW w:w="2686"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0.822 (0.786–0.861)</w:t>
            </w:r>
          </w:p>
        </w:tc>
        <w:tc>
          <w:tcPr>
            <w:tcW w:w="1360"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&lt;0.001</w:t>
            </w:r>
          </w:p>
        </w:tc>
      </w:tr>
      <w:tr w:rsidR="00942F85" w:rsidRPr="00321A5D" w:rsidTr="00942F85">
        <w:trPr>
          <w:jc w:val="center"/>
        </w:trPr>
        <w:tc>
          <w:tcPr>
            <w:tcW w:w="6034" w:type="dxa"/>
            <w:tcMar>
              <w:top w:w="90" w:type="dxa"/>
              <w:left w:w="90" w:type="dxa"/>
              <w:bottom w:w="90" w:type="dxa"/>
              <w:right w:w="90" w:type="dxa"/>
            </w:tcMar>
            <w:vAlign w:val="center"/>
          </w:tcPr>
          <w:p w:rsidR="00942F85" w:rsidRPr="00321A5D" w:rsidRDefault="00942F85" w:rsidP="00942F85">
            <w:pPr>
              <w:spacing w:before="60" w:after="60"/>
              <w:rPr>
                <w:rFonts w:ascii="Times New Roman" w:hAnsi="Times New Roman" w:cs="Times New Roman"/>
                <w:b/>
                <w:bCs/>
                <w:sz w:val="20"/>
                <w:szCs w:val="20"/>
              </w:rPr>
            </w:pPr>
            <w:r w:rsidRPr="00321A5D">
              <w:rPr>
                <w:rFonts w:ascii="Times New Roman" w:hAnsi="Times New Roman" w:cs="Times New Roman"/>
                <w:b/>
                <w:bCs/>
                <w:sz w:val="20"/>
                <w:szCs w:val="20"/>
              </w:rPr>
              <w:t>mNUTRIC score, per point</w:t>
            </w:r>
          </w:p>
        </w:tc>
        <w:tc>
          <w:tcPr>
            <w:tcW w:w="2686"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1.424 (1.349–1.503)</w:t>
            </w:r>
          </w:p>
        </w:tc>
        <w:tc>
          <w:tcPr>
            <w:tcW w:w="1360"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&lt;0.001</w:t>
            </w:r>
          </w:p>
        </w:tc>
      </w:tr>
      <w:tr w:rsidR="00942F85" w:rsidRPr="00321A5D" w:rsidTr="00942F85">
        <w:trPr>
          <w:jc w:val="center"/>
        </w:trPr>
        <w:tc>
          <w:tcPr>
            <w:tcW w:w="6034" w:type="dxa"/>
            <w:tcMar>
              <w:top w:w="90" w:type="dxa"/>
              <w:left w:w="90" w:type="dxa"/>
              <w:bottom w:w="90" w:type="dxa"/>
              <w:right w:w="90" w:type="dxa"/>
            </w:tcMar>
            <w:vAlign w:val="center"/>
          </w:tcPr>
          <w:p w:rsidR="00942F85" w:rsidRPr="00321A5D" w:rsidRDefault="00942F85" w:rsidP="00942F85">
            <w:pPr>
              <w:spacing w:before="60" w:after="60"/>
              <w:rPr>
                <w:rFonts w:ascii="Times New Roman" w:hAnsi="Times New Roman" w:cs="Times New Roman"/>
                <w:b/>
                <w:bCs/>
                <w:sz w:val="20"/>
                <w:szCs w:val="20"/>
              </w:rPr>
            </w:pPr>
            <w:r w:rsidRPr="00321A5D">
              <w:rPr>
                <w:rFonts w:ascii="Times New Roman" w:hAnsi="Times New Roman" w:cs="Times New Roman"/>
                <w:b/>
                <w:bCs/>
                <w:sz w:val="20"/>
                <w:szCs w:val="20"/>
              </w:rPr>
              <w:t>CCI, per point</w:t>
            </w:r>
          </w:p>
        </w:tc>
        <w:tc>
          <w:tcPr>
            <w:tcW w:w="2686"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1.104 (1.075–1.134)</w:t>
            </w:r>
          </w:p>
        </w:tc>
        <w:tc>
          <w:tcPr>
            <w:tcW w:w="1360"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&lt;0.001</w:t>
            </w:r>
          </w:p>
        </w:tc>
      </w:tr>
      <w:tr w:rsidR="00942F85" w:rsidRPr="00321A5D" w:rsidTr="00942F85">
        <w:trPr>
          <w:jc w:val="center"/>
        </w:trPr>
        <w:tc>
          <w:tcPr>
            <w:tcW w:w="6034" w:type="dxa"/>
            <w:tcMar>
              <w:top w:w="90" w:type="dxa"/>
              <w:left w:w="90" w:type="dxa"/>
              <w:bottom w:w="90" w:type="dxa"/>
              <w:right w:w="90" w:type="dxa"/>
            </w:tcMar>
            <w:vAlign w:val="center"/>
          </w:tcPr>
          <w:p w:rsidR="00942F85" w:rsidRPr="00321A5D" w:rsidRDefault="00942F85" w:rsidP="00942F85">
            <w:pPr>
              <w:spacing w:before="60" w:after="60"/>
              <w:rPr>
                <w:rFonts w:ascii="Times New Roman" w:hAnsi="Times New Roman" w:cs="Times New Roman"/>
                <w:b/>
                <w:bCs/>
                <w:sz w:val="20"/>
                <w:szCs w:val="20"/>
              </w:rPr>
            </w:pPr>
            <w:r w:rsidRPr="00321A5D">
              <w:rPr>
                <w:rFonts w:ascii="Times New Roman" w:hAnsi="Times New Roman" w:cs="Times New Roman"/>
                <w:b/>
                <w:bCs/>
                <w:sz w:val="20"/>
                <w:szCs w:val="20"/>
              </w:rPr>
              <w:t>SOFA score, per point</w:t>
            </w:r>
          </w:p>
        </w:tc>
        <w:tc>
          <w:tcPr>
            <w:tcW w:w="2686"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1.216 (1.188–1.246)</w:t>
            </w:r>
          </w:p>
        </w:tc>
        <w:tc>
          <w:tcPr>
            <w:tcW w:w="1360"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&lt;0.001</w:t>
            </w:r>
          </w:p>
        </w:tc>
      </w:tr>
      <w:tr w:rsidR="00942F85" w:rsidRPr="00321A5D" w:rsidTr="00942F85">
        <w:trPr>
          <w:jc w:val="center"/>
        </w:trPr>
        <w:tc>
          <w:tcPr>
            <w:tcW w:w="6034" w:type="dxa"/>
            <w:tcMar>
              <w:top w:w="90" w:type="dxa"/>
              <w:left w:w="90" w:type="dxa"/>
              <w:bottom w:w="90" w:type="dxa"/>
              <w:right w:w="90" w:type="dxa"/>
            </w:tcMar>
            <w:vAlign w:val="center"/>
          </w:tcPr>
          <w:p w:rsidR="00942F85" w:rsidRPr="00321A5D" w:rsidRDefault="00942F85" w:rsidP="00942F85">
            <w:pPr>
              <w:spacing w:before="60" w:after="60"/>
              <w:rPr>
                <w:rFonts w:ascii="Times New Roman" w:hAnsi="Times New Roman" w:cs="Times New Roman"/>
                <w:b/>
                <w:bCs/>
                <w:sz w:val="20"/>
                <w:szCs w:val="20"/>
              </w:rPr>
            </w:pPr>
            <w:r w:rsidRPr="00321A5D">
              <w:rPr>
                <w:rFonts w:ascii="Times New Roman" w:hAnsi="Times New Roman" w:cs="Times New Roman"/>
                <w:b/>
                <w:bCs/>
                <w:sz w:val="20"/>
                <w:szCs w:val="20"/>
              </w:rPr>
              <w:t>APACHE II score, per point</w:t>
            </w:r>
          </w:p>
        </w:tc>
        <w:tc>
          <w:tcPr>
            <w:tcW w:w="2686"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1.070 (1.058–1.082)</w:t>
            </w:r>
          </w:p>
        </w:tc>
        <w:tc>
          <w:tcPr>
            <w:tcW w:w="1360"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&lt;0.001</w:t>
            </w:r>
          </w:p>
        </w:tc>
      </w:tr>
      <w:tr w:rsidR="00942F85" w:rsidRPr="00321A5D" w:rsidTr="00942F85">
        <w:trPr>
          <w:jc w:val="center"/>
        </w:trPr>
        <w:tc>
          <w:tcPr>
            <w:tcW w:w="6034" w:type="dxa"/>
            <w:tcMar>
              <w:top w:w="90" w:type="dxa"/>
              <w:left w:w="90" w:type="dxa"/>
              <w:bottom w:w="90" w:type="dxa"/>
              <w:right w:w="90" w:type="dxa"/>
            </w:tcMar>
            <w:vAlign w:val="center"/>
          </w:tcPr>
          <w:p w:rsidR="00942F85" w:rsidRPr="00321A5D" w:rsidRDefault="00942F85" w:rsidP="00942F85">
            <w:pPr>
              <w:spacing w:before="60" w:after="60"/>
              <w:rPr>
                <w:rFonts w:ascii="Times New Roman" w:hAnsi="Times New Roman" w:cs="Times New Roman"/>
                <w:b/>
                <w:bCs/>
                <w:sz w:val="20"/>
                <w:szCs w:val="20"/>
              </w:rPr>
            </w:pPr>
            <w:r w:rsidRPr="00321A5D">
              <w:rPr>
                <w:rFonts w:ascii="Times New Roman" w:hAnsi="Times New Roman" w:cs="Times New Roman"/>
                <w:b/>
                <w:bCs/>
                <w:sz w:val="20"/>
                <w:szCs w:val="20"/>
              </w:rPr>
              <w:t>ICU admission source: hospital ward vs emergency department</w:t>
            </w:r>
          </w:p>
        </w:tc>
        <w:tc>
          <w:tcPr>
            <w:tcW w:w="2686"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1.646 (1.379–1.965)</w:t>
            </w:r>
          </w:p>
        </w:tc>
        <w:tc>
          <w:tcPr>
            <w:tcW w:w="1360"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&lt;0.001</w:t>
            </w:r>
          </w:p>
        </w:tc>
      </w:tr>
      <w:tr w:rsidR="00942F85" w:rsidRPr="00321A5D" w:rsidTr="00942F85">
        <w:trPr>
          <w:jc w:val="center"/>
        </w:trPr>
        <w:tc>
          <w:tcPr>
            <w:tcW w:w="6034" w:type="dxa"/>
            <w:tcMar>
              <w:top w:w="90" w:type="dxa"/>
              <w:left w:w="90" w:type="dxa"/>
              <w:bottom w:w="90" w:type="dxa"/>
              <w:right w:w="90" w:type="dxa"/>
            </w:tcMar>
            <w:vAlign w:val="center"/>
          </w:tcPr>
          <w:p w:rsidR="00942F85" w:rsidRPr="00321A5D" w:rsidRDefault="00942F85" w:rsidP="00942F85">
            <w:pPr>
              <w:spacing w:before="60" w:after="60"/>
              <w:rPr>
                <w:rFonts w:ascii="Times New Roman" w:hAnsi="Times New Roman" w:cs="Times New Roman"/>
                <w:b/>
                <w:bCs/>
                <w:sz w:val="20"/>
                <w:szCs w:val="20"/>
              </w:rPr>
            </w:pPr>
            <w:r w:rsidRPr="00321A5D">
              <w:rPr>
                <w:rFonts w:ascii="Times New Roman" w:hAnsi="Times New Roman" w:cs="Times New Roman"/>
                <w:b/>
                <w:bCs/>
                <w:sz w:val="20"/>
                <w:szCs w:val="20"/>
              </w:rPr>
              <w:t>ICU admission source: operating room vs emergency department</w:t>
            </w:r>
          </w:p>
        </w:tc>
        <w:tc>
          <w:tcPr>
            <w:tcW w:w="2686"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0.373 (0.214–0.652)</w:t>
            </w:r>
          </w:p>
        </w:tc>
        <w:tc>
          <w:tcPr>
            <w:tcW w:w="1360" w:type="dxa"/>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&lt;0.001</w:t>
            </w:r>
          </w:p>
        </w:tc>
      </w:tr>
      <w:tr w:rsidR="00942F85" w:rsidRPr="00321A5D" w:rsidTr="00942F85">
        <w:trPr>
          <w:jc w:val="center"/>
        </w:trPr>
        <w:tc>
          <w:tcPr>
            <w:tcW w:w="6034" w:type="dxa"/>
            <w:tcBorders>
              <w:bottom w:val="single" w:sz="18" w:space="0" w:color="auto"/>
            </w:tcBorders>
            <w:tcMar>
              <w:top w:w="90" w:type="dxa"/>
              <w:left w:w="90" w:type="dxa"/>
              <w:bottom w:w="90" w:type="dxa"/>
              <w:right w:w="90" w:type="dxa"/>
            </w:tcMar>
            <w:vAlign w:val="center"/>
          </w:tcPr>
          <w:p w:rsidR="00942F85" w:rsidRPr="00321A5D" w:rsidRDefault="00942F85" w:rsidP="00942F85">
            <w:pPr>
              <w:spacing w:before="60" w:after="60"/>
              <w:rPr>
                <w:rFonts w:ascii="Times New Roman" w:hAnsi="Times New Roman" w:cs="Times New Roman"/>
                <w:b/>
                <w:bCs/>
                <w:sz w:val="20"/>
                <w:szCs w:val="20"/>
              </w:rPr>
            </w:pPr>
            <w:r w:rsidRPr="00321A5D">
              <w:rPr>
                <w:rFonts w:ascii="Times New Roman" w:hAnsi="Times New Roman" w:cs="Times New Roman"/>
                <w:b/>
                <w:bCs/>
                <w:sz w:val="20"/>
                <w:szCs w:val="20"/>
              </w:rPr>
              <w:t>ICU admission source: palliative care unit vs emergency department</w:t>
            </w:r>
          </w:p>
        </w:tc>
        <w:tc>
          <w:tcPr>
            <w:tcW w:w="2686" w:type="dxa"/>
            <w:tcBorders>
              <w:bottom w:val="single" w:sz="18" w:space="0" w:color="auto"/>
            </w:tcBorders>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1.174 (0.604–2.281)</w:t>
            </w:r>
          </w:p>
        </w:tc>
        <w:tc>
          <w:tcPr>
            <w:tcW w:w="1360" w:type="dxa"/>
            <w:tcBorders>
              <w:bottom w:val="single" w:sz="18" w:space="0" w:color="auto"/>
            </w:tcBorders>
            <w:tcMar>
              <w:top w:w="90" w:type="dxa"/>
              <w:left w:w="90" w:type="dxa"/>
              <w:bottom w:w="90" w:type="dxa"/>
              <w:right w:w="90" w:type="dxa"/>
            </w:tcMar>
            <w:vAlign w:val="center"/>
          </w:tcPr>
          <w:p w:rsidR="00942F85" w:rsidRPr="00942F85" w:rsidRDefault="00942F85" w:rsidP="00942F85">
            <w:pPr>
              <w:spacing w:before="60" w:after="60"/>
              <w:jc w:val="center"/>
              <w:rPr>
                <w:rFonts w:ascii="Times New Roman" w:hAnsi="Times New Roman" w:cs="Times New Roman"/>
                <w:sz w:val="20"/>
                <w:szCs w:val="20"/>
              </w:rPr>
            </w:pPr>
            <w:r w:rsidRPr="00942F85">
              <w:rPr>
                <w:rFonts w:ascii="Times New Roman" w:hAnsi="Times New Roman"/>
                <w:sz w:val="20"/>
              </w:rPr>
              <w:t>0.636</w:t>
            </w:r>
          </w:p>
        </w:tc>
      </w:tr>
      <w:tr w:rsidR="00E10EFA" w:rsidRPr="00321A5D" w:rsidTr="00942F85">
        <w:trPr>
          <w:jc w:val="center"/>
        </w:trPr>
        <w:tc>
          <w:tcPr>
            <w:tcW w:w="10080" w:type="dxa"/>
            <w:gridSpan w:val="3"/>
            <w:tcBorders>
              <w:top w:val="single" w:sz="18" w:space="0" w:color="auto"/>
              <w:bottom w:val="single" w:sz="18" w:space="0" w:color="auto"/>
            </w:tcBorders>
            <w:tcMar>
              <w:top w:w="90" w:type="dxa"/>
              <w:left w:w="90" w:type="dxa"/>
              <w:bottom w:w="90" w:type="dxa"/>
              <w:right w:w="90" w:type="dxa"/>
            </w:tcMar>
            <w:vAlign w:val="center"/>
          </w:tcPr>
          <w:p w:rsidR="00E10EFA" w:rsidRPr="00321A5D" w:rsidRDefault="00E10EFA" w:rsidP="00321A5D">
            <w:pPr>
              <w:spacing w:before="60" w:after="60"/>
              <w:rPr>
                <w:rFonts w:ascii="Times New Roman" w:hAnsi="Times New Roman" w:cs="Times New Roman"/>
                <w:sz w:val="20"/>
                <w:szCs w:val="20"/>
              </w:rPr>
            </w:pPr>
            <w:r w:rsidRPr="00321A5D">
              <w:rPr>
                <w:rFonts w:ascii="Times New Roman" w:hAnsi="Times New Roman" w:cs="Times New Roman"/>
                <w:sz w:val="20"/>
                <w:szCs w:val="20"/>
              </w:rPr>
              <w:t>HR</w:t>
            </w:r>
            <w:r w:rsidR="0042612D" w:rsidRPr="00321A5D">
              <w:rPr>
                <w:rFonts w:ascii="Times New Roman" w:hAnsi="Times New Roman" w:cs="Times New Roman"/>
                <w:sz w:val="20"/>
                <w:szCs w:val="20"/>
              </w:rPr>
              <w:t>:</w:t>
            </w:r>
            <w:r w:rsidRPr="00321A5D">
              <w:rPr>
                <w:rFonts w:ascii="Times New Roman" w:hAnsi="Times New Roman" w:cs="Times New Roman"/>
                <w:sz w:val="20"/>
                <w:szCs w:val="20"/>
              </w:rPr>
              <w:t xml:space="preserve"> hazard ratio</w:t>
            </w:r>
            <w:r w:rsidR="0042612D" w:rsidRPr="00321A5D">
              <w:rPr>
                <w:rFonts w:ascii="Times New Roman" w:hAnsi="Times New Roman" w:cs="Times New Roman"/>
                <w:sz w:val="20"/>
                <w:szCs w:val="20"/>
              </w:rPr>
              <w:t>,</w:t>
            </w:r>
            <w:r w:rsidRPr="00321A5D">
              <w:rPr>
                <w:rFonts w:ascii="Times New Roman" w:hAnsi="Times New Roman" w:cs="Times New Roman"/>
                <w:sz w:val="20"/>
                <w:szCs w:val="20"/>
              </w:rPr>
              <w:t xml:space="preserve"> CI</w:t>
            </w:r>
            <w:r w:rsidR="0042612D" w:rsidRPr="00321A5D">
              <w:rPr>
                <w:rFonts w:ascii="Times New Roman" w:hAnsi="Times New Roman" w:cs="Times New Roman"/>
                <w:sz w:val="20"/>
                <w:szCs w:val="20"/>
              </w:rPr>
              <w:t>:</w:t>
            </w:r>
            <w:r w:rsidRPr="00321A5D">
              <w:rPr>
                <w:rFonts w:ascii="Times New Roman" w:hAnsi="Times New Roman" w:cs="Times New Roman"/>
                <w:sz w:val="20"/>
                <w:szCs w:val="20"/>
              </w:rPr>
              <w:t xml:space="preserve"> confidence interval</w:t>
            </w:r>
            <w:r w:rsidR="0042612D" w:rsidRPr="00321A5D">
              <w:rPr>
                <w:rFonts w:ascii="Times New Roman" w:hAnsi="Times New Roman" w:cs="Times New Roman"/>
                <w:sz w:val="20"/>
                <w:szCs w:val="20"/>
              </w:rPr>
              <w:t>,</w:t>
            </w:r>
            <w:r w:rsidRPr="00321A5D">
              <w:rPr>
                <w:rFonts w:ascii="Times New Roman" w:hAnsi="Times New Roman" w:cs="Times New Roman"/>
                <w:sz w:val="20"/>
                <w:szCs w:val="20"/>
              </w:rPr>
              <w:t xml:space="preserve"> CFS</w:t>
            </w:r>
            <w:r w:rsidR="0042612D" w:rsidRPr="00321A5D">
              <w:rPr>
                <w:rFonts w:ascii="Times New Roman" w:hAnsi="Times New Roman" w:cs="Times New Roman"/>
                <w:sz w:val="20"/>
                <w:szCs w:val="20"/>
              </w:rPr>
              <w:t>:</w:t>
            </w:r>
            <w:r w:rsidRPr="00321A5D">
              <w:rPr>
                <w:rFonts w:ascii="Times New Roman" w:hAnsi="Times New Roman" w:cs="Times New Roman"/>
                <w:sz w:val="20"/>
                <w:szCs w:val="20"/>
              </w:rPr>
              <w:t xml:space="preserve"> Clinical Frailty Scale</w:t>
            </w:r>
            <w:r w:rsidR="0042612D" w:rsidRPr="00321A5D">
              <w:rPr>
                <w:rFonts w:ascii="Times New Roman" w:hAnsi="Times New Roman" w:cs="Times New Roman"/>
                <w:sz w:val="20"/>
                <w:szCs w:val="20"/>
              </w:rPr>
              <w:t>,</w:t>
            </w:r>
            <w:r w:rsidRPr="00321A5D">
              <w:rPr>
                <w:rFonts w:ascii="Times New Roman" w:hAnsi="Times New Roman" w:cs="Times New Roman"/>
                <w:sz w:val="20"/>
                <w:szCs w:val="20"/>
              </w:rPr>
              <w:t xml:space="preserve"> ADL</w:t>
            </w:r>
            <w:r w:rsidR="0042612D" w:rsidRPr="00321A5D">
              <w:rPr>
                <w:rFonts w:ascii="Times New Roman" w:hAnsi="Times New Roman" w:cs="Times New Roman"/>
                <w:sz w:val="20"/>
                <w:szCs w:val="20"/>
              </w:rPr>
              <w:t>:</w:t>
            </w:r>
            <w:r w:rsidRPr="00321A5D">
              <w:rPr>
                <w:rFonts w:ascii="Times New Roman" w:hAnsi="Times New Roman" w:cs="Times New Roman"/>
                <w:sz w:val="20"/>
                <w:szCs w:val="20"/>
              </w:rPr>
              <w:t xml:space="preserve"> Activities of Daily Living</w:t>
            </w:r>
            <w:r w:rsidR="0042612D" w:rsidRPr="00321A5D">
              <w:rPr>
                <w:rFonts w:ascii="Times New Roman" w:hAnsi="Times New Roman" w:cs="Times New Roman"/>
                <w:sz w:val="20"/>
                <w:szCs w:val="20"/>
              </w:rPr>
              <w:t>,</w:t>
            </w:r>
            <w:r w:rsidRPr="00321A5D">
              <w:rPr>
                <w:rFonts w:ascii="Times New Roman" w:hAnsi="Times New Roman" w:cs="Times New Roman"/>
                <w:sz w:val="20"/>
                <w:szCs w:val="20"/>
              </w:rPr>
              <w:t xml:space="preserve"> mNUTRIC</w:t>
            </w:r>
            <w:r w:rsidR="0042612D" w:rsidRPr="00321A5D">
              <w:rPr>
                <w:rFonts w:ascii="Times New Roman" w:hAnsi="Times New Roman" w:cs="Times New Roman"/>
                <w:sz w:val="20"/>
                <w:szCs w:val="20"/>
              </w:rPr>
              <w:t xml:space="preserve">: </w:t>
            </w:r>
            <w:r w:rsidRPr="00321A5D">
              <w:rPr>
                <w:rFonts w:ascii="Times New Roman" w:hAnsi="Times New Roman" w:cs="Times New Roman"/>
                <w:sz w:val="20"/>
                <w:szCs w:val="20"/>
              </w:rPr>
              <w:t>modified Nutrition Risk in the Critically Ill</w:t>
            </w:r>
            <w:r w:rsidR="0042612D" w:rsidRPr="00321A5D">
              <w:rPr>
                <w:rFonts w:ascii="Times New Roman" w:hAnsi="Times New Roman" w:cs="Times New Roman"/>
                <w:sz w:val="20"/>
                <w:szCs w:val="20"/>
              </w:rPr>
              <w:t>,</w:t>
            </w:r>
            <w:r w:rsidRPr="00321A5D">
              <w:rPr>
                <w:rFonts w:ascii="Times New Roman" w:hAnsi="Times New Roman" w:cs="Times New Roman"/>
                <w:sz w:val="20"/>
                <w:szCs w:val="20"/>
              </w:rPr>
              <w:t xml:space="preserve"> CCI</w:t>
            </w:r>
            <w:r w:rsidR="0042612D" w:rsidRPr="00321A5D">
              <w:rPr>
                <w:rFonts w:ascii="Times New Roman" w:hAnsi="Times New Roman" w:cs="Times New Roman"/>
                <w:sz w:val="20"/>
                <w:szCs w:val="20"/>
              </w:rPr>
              <w:t>:</w:t>
            </w:r>
            <w:r w:rsidRPr="00321A5D">
              <w:rPr>
                <w:rFonts w:ascii="Times New Roman" w:hAnsi="Times New Roman" w:cs="Times New Roman"/>
                <w:sz w:val="20"/>
                <w:szCs w:val="20"/>
              </w:rPr>
              <w:t xml:space="preserve"> Charlson Comorbidity Index</w:t>
            </w:r>
            <w:r w:rsidR="0042612D" w:rsidRPr="00321A5D">
              <w:rPr>
                <w:rFonts w:ascii="Times New Roman" w:hAnsi="Times New Roman" w:cs="Times New Roman"/>
                <w:sz w:val="20"/>
                <w:szCs w:val="20"/>
              </w:rPr>
              <w:t>,</w:t>
            </w:r>
            <w:r w:rsidRPr="00321A5D">
              <w:rPr>
                <w:rFonts w:ascii="Times New Roman" w:hAnsi="Times New Roman" w:cs="Times New Roman"/>
                <w:sz w:val="20"/>
                <w:szCs w:val="20"/>
              </w:rPr>
              <w:t xml:space="preserve"> SOFA</w:t>
            </w:r>
            <w:r w:rsidR="0042612D" w:rsidRPr="00321A5D">
              <w:rPr>
                <w:rFonts w:ascii="Times New Roman" w:hAnsi="Times New Roman" w:cs="Times New Roman"/>
                <w:sz w:val="20"/>
                <w:szCs w:val="20"/>
              </w:rPr>
              <w:t xml:space="preserve">: </w:t>
            </w:r>
            <w:r w:rsidRPr="00321A5D">
              <w:rPr>
                <w:rFonts w:ascii="Times New Roman" w:hAnsi="Times New Roman" w:cs="Times New Roman"/>
                <w:sz w:val="20"/>
                <w:szCs w:val="20"/>
              </w:rPr>
              <w:t>Sequential Organ Failure Assessment</w:t>
            </w:r>
            <w:r w:rsidR="0042612D" w:rsidRPr="00321A5D">
              <w:rPr>
                <w:rFonts w:ascii="Times New Roman" w:hAnsi="Times New Roman" w:cs="Times New Roman"/>
                <w:sz w:val="20"/>
                <w:szCs w:val="20"/>
              </w:rPr>
              <w:t>,</w:t>
            </w:r>
            <w:r w:rsidRPr="00321A5D">
              <w:rPr>
                <w:rFonts w:ascii="Times New Roman" w:hAnsi="Times New Roman" w:cs="Times New Roman"/>
                <w:sz w:val="20"/>
                <w:szCs w:val="20"/>
              </w:rPr>
              <w:t xml:space="preserve"> APACHE II</w:t>
            </w:r>
            <w:r w:rsidR="0042612D" w:rsidRPr="00321A5D">
              <w:rPr>
                <w:rFonts w:ascii="Times New Roman" w:hAnsi="Times New Roman" w:cs="Times New Roman"/>
                <w:sz w:val="20"/>
                <w:szCs w:val="20"/>
              </w:rPr>
              <w:t>:</w:t>
            </w:r>
            <w:r w:rsidRPr="00321A5D">
              <w:rPr>
                <w:rFonts w:ascii="Times New Roman" w:hAnsi="Times New Roman" w:cs="Times New Roman"/>
                <w:sz w:val="20"/>
                <w:szCs w:val="20"/>
              </w:rPr>
              <w:t xml:space="preserve"> Acute Physiology and Chronic Health Evaluation II.</w:t>
            </w:r>
          </w:p>
          <w:p w:rsidR="00E10EFA" w:rsidRDefault="00E10EFA" w:rsidP="00321A5D">
            <w:pPr>
              <w:spacing w:before="60" w:after="60"/>
              <w:rPr>
                <w:rFonts w:ascii="Times New Roman" w:hAnsi="Times New Roman" w:cs="Times New Roman"/>
                <w:sz w:val="20"/>
                <w:szCs w:val="20"/>
              </w:rPr>
            </w:pPr>
            <w:r w:rsidRPr="00321A5D">
              <w:rPr>
                <w:rFonts w:ascii="Times New Roman" w:hAnsi="Times New Roman" w:cs="Times New Roman"/>
                <w:sz w:val="20"/>
                <w:szCs w:val="20"/>
              </w:rPr>
              <w:t>Each row represents a separate univariable Cox proportional hazards model. For ICU admission source, emergency department was used as the reference category.</w:t>
            </w:r>
          </w:p>
          <w:p w:rsidR="00942F85" w:rsidRPr="00321A5D" w:rsidRDefault="00230B1C" w:rsidP="00321A5D">
            <w:pPr>
              <w:spacing w:before="60" w:after="60"/>
              <w:rPr>
                <w:rFonts w:ascii="Times New Roman" w:hAnsi="Times New Roman" w:cs="Times New Roman"/>
                <w:sz w:val="20"/>
                <w:szCs w:val="20"/>
              </w:rPr>
            </w:pPr>
            <w:r w:rsidRPr="00230B1C">
              <w:rPr>
                <w:rFonts w:ascii="Times New Roman" w:hAnsi="Times New Roman" w:cs="Times New Roman"/>
                <w:sz w:val="20"/>
                <w:szCs w:val="20"/>
              </w:rPr>
              <w:t>The time origin was 48 hours after ICU admission, and patients alive at day 30 were administratively censored at landmark day 28. Tied event times were handled using the Breslow method. Confidence intervals and p values were based on conventional model-based variance estimates; centre-clustered robust sandwich variance estimates were not used.</w:t>
            </w:r>
          </w:p>
        </w:tc>
      </w:tr>
    </w:tbl>
    <w:p w:rsidR="00262EA2" w:rsidRDefault="00262EA2">
      <w:pPr>
        <w:spacing w:before="60"/>
      </w:pPr>
    </w:p>
    <w:sectPr w:rsidR="00262EA2"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312294471">
    <w:abstractNumId w:val="8"/>
  </w:num>
  <w:num w:numId="2" w16cid:durableId="1327903679">
    <w:abstractNumId w:val="6"/>
  </w:num>
  <w:num w:numId="3" w16cid:durableId="1342271356">
    <w:abstractNumId w:val="5"/>
  </w:num>
  <w:num w:numId="4" w16cid:durableId="1758209263">
    <w:abstractNumId w:val="4"/>
  </w:num>
  <w:num w:numId="5" w16cid:durableId="1465663378">
    <w:abstractNumId w:val="7"/>
  </w:num>
  <w:num w:numId="6" w16cid:durableId="113793174">
    <w:abstractNumId w:val="3"/>
  </w:num>
  <w:num w:numId="7" w16cid:durableId="1849831774">
    <w:abstractNumId w:val="2"/>
  </w:num>
  <w:num w:numId="8" w16cid:durableId="127869428">
    <w:abstractNumId w:val="1"/>
  </w:num>
  <w:num w:numId="9" w16cid:durableId="1127821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0B1C"/>
    <w:rsid w:val="00262EA2"/>
    <w:rsid w:val="0029639D"/>
    <w:rsid w:val="00321A5D"/>
    <w:rsid w:val="00326F90"/>
    <w:rsid w:val="003B64A0"/>
    <w:rsid w:val="0042612D"/>
    <w:rsid w:val="005352D2"/>
    <w:rsid w:val="0067756A"/>
    <w:rsid w:val="00942F85"/>
    <w:rsid w:val="00A10430"/>
    <w:rsid w:val="00AA1D8D"/>
    <w:rsid w:val="00B47730"/>
    <w:rsid w:val="00CB0664"/>
    <w:rsid w:val="00E10EF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55C023AB-AF00-7F49-BDEA-11459C844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8"/>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Umut Kasapoğlu</cp:lastModifiedBy>
  <cp:revision>3</cp:revision>
  <dcterms:created xsi:type="dcterms:W3CDTF">2026-08-12T22:20:00Z</dcterms:created>
  <dcterms:modified xsi:type="dcterms:W3CDTF">2026-08-13T15:02:00Z</dcterms:modified>
  <cp:category/>
</cp:coreProperties>
</file>