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numPr>
          <w:ilvl w:val="0"/>
          <w:numId w:val="1"/>
        </w:numPr>
        <w:spacing w:before="280" w:after="280"/>
        <w:jc w:val="center"/>
        <w:rPr>
          <w:rFonts w:ascii="Times New Roman" w:hAnsi="Times New Roman"/>
          <w:b/>
          <w:bCs/>
          <w:sz w:val="36"/>
          <w:szCs w:val="36"/>
        </w:rPr>
      </w:pPr>
      <w:bookmarkStart w:id="0" w:name="__RefHeading___Toc17699_3872103911"/>
      <w:bookmarkEnd w:id="0"/>
      <w:r>
        <w:rPr>
          <w:rFonts w:ascii="Times New Roman" w:hAnsi="Times New Roman"/>
          <w:b/>
          <w:bCs/>
          <w:sz w:val="36"/>
          <w:szCs w:val="36"/>
        </w:rPr>
        <w:t>Supplementary Material</w:t>
      </w:r>
    </w:p>
    <w:p>
      <w:pPr>
        <w:pStyle w:val="NormalWeb"/>
        <w:numPr>
          <w:ilvl w:val="0"/>
          <w:numId w:val="1"/>
        </w:numPr>
        <w:jc w:val="center"/>
        <w:rPr>
          <w:rFonts w:ascii="Times New Roman" w:hAnsi="Times New Roman"/>
          <w:b/>
          <w:bCs/>
          <w:sz w:val="36"/>
          <w:szCs w:val="36"/>
        </w:rPr>
      </w:pPr>
      <w:r>
        <w:rPr>
          <w:rFonts w:ascii="Times New Roman" w:hAnsi="Times New Roman"/>
          <w:b/>
          <w:bCs/>
          <w:sz w:val="36"/>
          <w:szCs w:val="36"/>
        </w:rPr>
      </w:r>
    </w:p>
    <w:p>
      <w:pPr>
        <w:pStyle w:val="NormalnyWeb1"/>
        <w:spacing w:lineRule="auto" w:line="480" w:before="0" w:after="0"/>
        <w:jc w:val="center"/>
        <w:rPr>
          <w:rFonts w:ascii="Times New Roman" w:hAnsi="Times New Roman" w:eastAsia="Times New Roman"/>
        </w:rPr>
      </w:pPr>
      <w:r>
        <w:rPr>
          <w:rFonts w:eastAsia="Times New Roman" w:cs="Times New Roman" w:ascii="Times New Roman" w:hAnsi="Times New Roman"/>
          <w:b/>
          <w:bCs/>
          <w:color w:val="000000"/>
          <w:lang w:val="en-US" w:eastAsia="pl-PL"/>
        </w:rPr>
        <w:t>Objectification of a romantic partner is differentially linked to dimensions of perceived relationship quality among women and men in heterosexual dyads</w:t>
      </w:r>
    </w:p>
    <w:p>
      <w:pPr>
        <w:pStyle w:val="NormalWeb"/>
        <w:spacing w:lineRule="auto" w:line="360" w:before="0" w:after="0"/>
        <w:jc w:val="center"/>
        <w:rPr>
          <w:rFonts w:ascii="Times New Roman" w:hAnsi="Times New Roman"/>
          <w:b/>
          <w:bCs/>
          <w:color w:val="000000"/>
          <w:lang w:val="en-US"/>
        </w:rPr>
      </w:pPr>
      <w:r>
        <w:rPr>
          <w:rFonts w:ascii="Times New Roman" w:hAnsi="Times New Roman"/>
          <w:b/>
          <w:bCs/>
          <w:color w:val="000000"/>
          <w:lang w:val="en-US"/>
        </w:rPr>
      </w:r>
    </w:p>
    <w:sdt>
      <w:sdtPr>
        <w:docPartObj>
          <w:docPartGallery w:val="Table of Contents"/>
          <w:docPartUnique w:val="true"/>
        </w:docPartObj>
      </w:sdtPr>
      <w:sdtContent>
        <w:p>
          <w:pPr>
            <w:pStyle w:val="TOCHeading"/>
            <w:rPr>
              <w:rFonts w:ascii="Times New Roman" w:hAnsi="Times New Roman"/>
            </w:rPr>
          </w:pPr>
          <w:r>
            <w:rPr>
              <w:rFonts w:ascii="Times New Roman" w:hAnsi="Times New Roman"/>
            </w:rPr>
            <w:t>Table of content</w:t>
          </w:r>
        </w:p>
        <w:p>
          <w:pPr>
            <w:pStyle w:val="TOC1"/>
            <w:tabs>
              <w:tab w:val="clear" w:pos="14570"/>
              <w:tab w:val="right" w:pos="9637" w:leader="dot"/>
            </w:tabs>
            <w:rPr/>
          </w:pPr>
          <w:r>
            <w:fldChar w:fldCharType="begin"/>
          </w:r>
          <w:r>
            <w:rPr>
              <w:rStyle w:val="czeindeksu"/>
              <w:rFonts w:ascii="Times New Roman" w:hAnsi="Times New Roman"/>
            </w:rPr>
            <w:instrText xml:space="preserve"> TOC \f \o "1-9" \h</w:instrText>
          </w:r>
          <w:r>
            <w:rPr>
              <w:rStyle w:val="czeindeksu"/>
              <w:rFonts w:ascii="Times New Roman" w:hAnsi="Times New Roman"/>
            </w:rPr>
            <w:fldChar w:fldCharType="separate"/>
          </w:r>
          <w:hyperlink w:anchor="__RefHeading___Toc17711_3872103911" w:tooltip="1. Assessment of Validity of Romantic Partner Objectification Scale">
            <w:r>
              <w:rPr>
                <w:rStyle w:val="czeindeksu"/>
                <w:rFonts w:ascii="Times New Roman" w:hAnsi="Times New Roman"/>
              </w:rPr>
              <w:t>1. Assessment of Validity of Romantic Partner Objectification Scale</w:t>
              <w:tab/>
              <w:t>2</w:t>
            </w:r>
          </w:hyperlink>
        </w:p>
        <w:p>
          <w:pPr>
            <w:pStyle w:val="TOC2"/>
            <w:tabs>
              <w:tab w:val="clear" w:pos="9355"/>
              <w:tab w:val="right" w:pos="9637" w:leader="dot"/>
            </w:tabs>
            <w:rPr/>
          </w:pPr>
          <w:hyperlink w:anchor="__RefHeading___Toc13055_2139732366" w:tooltip="1.1. Reliability, Convergent and Discriminant Validity – initial validation">
            <w:r>
              <w:rPr>
                <w:rStyle w:val="czeindeksu"/>
                <w:rFonts w:ascii="Times New Roman" w:hAnsi="Times New Roman"/>
              </w:rPr>
              <w:t>1.1. Reliability, Convergent and Discriminant Validity – initial validation</w:t>
              <w:tab/>
              <w:t>2</w:t>
            </w:r>
          </w:hyperlink>
        </w:p>
        <w:p>
          <w:pPr>
            <w:pStyle w:val="TOC2"/>
            <w:tabs>
              <w:tab w:val="clear" w:pos="9355"/>
              <w:tab w:val="right" w:pos="9637" w:leader="dot"/>
            </w:tabs>
            <w:rPr/>
          </w:pPr>
          <w:hyperlink w:anchor="__RefHeading___Toc2338_3367103188_kopia_" w:tooltip="1.2. Psychometric properties of Romantic Partner Objectification Scale – current study">
            <w:r>
              <w:rPr>
                <w:rStyle w:val="czeindeksu"/>
                <w:rFonts w:ascii="Times New Roman" w:hAnsi="Times New Roman"/>
              </w:rPr>
              <w:t>1.2. Psychometric properties of Romantic Partner Objectification Scale – current study</w:t>
              <w:tab/>
              <w:t>4</w:t>
            </w:r>
          </w:hyperlink>
        </w:p>
        <w:p>
          <w:pPr>
            <w:pStyle w:val="TOC2"/>
            <w:tabs>
              <w:tab w:val="clear" w:pos="9355"/>
              <w:tab w:val="right" w:pos="9637" w:leader="dot"/>
            </w:tabs>
            <w:rPr/>
          </w:pPr>
          <w:hyperlink w:anchor="__RefHeading___Toc4507_4084243184" w:tooltip="1.3. Confirmatory Factor Analysis of Romantic Partner Objectification Scale – current study">
            <w:r>
              <w:rPr>
                <w:rStyle w:val="czeindeksu"/>
                <w:rFonts w:ascii="Times New Roman" w:hAnsi="Times New Roman"/>
              </w:rPr>
              <w:t>1.3. Confirmatory Factor Analysis of Romantic Partner Objectification Scale – current study</w:t>
              <w:tab/>
              <w:t>5</w:t>
            </w:r>
          </w:hyperlink>
        </w:p>
        <w:p>
          <w:pPr>
            <w:pStyle w:val="TOC2"/>
            <w:tabs>
              <w:tab w:val="clear" w:pos="9355"/>
              <w:tab w:val="right" w:pos="9637" w:leader="dot"/>
            </w:tabs>
            <w:rPr/>
          </w:pPr>
          <w:hyperlink w:anchor="__RefHeading___Toc17711_3872103911_kopia" w:tooltip="1.4. Measurement invariance of Romantic Partner Objectification Scale across sex – current study">
            <w:r>
              <w:rPr>
                <w:rStyle w:val="czeindeksu"/>
                <w:rFonts w:ascii="Times New Roman" w:hAnsi="Times New Roman"/>
              </w:rPr>
              <w:t>1.4. Measurement invariance of Romantic Partner Objectification Scale across sex – current study</w:t>
              <w:tab/>
              <w:t>6</w:t>
            </w:r>
          </w:hyperlink>
        </w:p>
        <w:p>
          <w:pPr>
            <w:pStyle w:val="TOC1"/>
            <w:tabs>
              <w:tab w:val="clear" w:pos="14570"/>
              <w:tab w:val="right" w:pos="9637" w:leader="dot"/>
            </w:tabs>
            <w:rPr/>
          </w:pPr>
          <w:hyperlink w:anchor="__RefHeading___Toc17701_3872103911" w:tooltip="2. Actor-Patner Interdependece Models Analytical plan">
            <w:r>
              <w:rPr>
                <w:rStyle w:val="czeindeksu"/>
                <w:rFonts w:ascii="Times New Roman" w:hAnsi="Times New Roman"/>
              </w:rPr>
              <w:t>2. Actor-Patner Interdependece Models Analytical plan</w:t>
              <w:tab/>
              <w:t>7</w:t>
            </w:r>
          </w:hyperlink>
        </w:p>
        <w:p>
          <w:pPr>
            <w:pStyle w:val="TOC1"/>
            <w:tabs>
              <w:tab w:val="clear" w:pos="14570"/>
              <w:tab w:val="right" w:pos="9637" w:leader="dot"/>
            </w:tabs>
            <w:rPr/>
          </w:pPr>
          <w:hyperlink w:anchor="__RefHeading___Toc17703_3872103911" w:tooltip="3. Actor-Partner Interdependence Models – expanded description">
            <w:r>
              <w:rPr>
                <w:rStyle w:val="czeindeksu"/>
                <w:rFonts w:ascii="Times New Roman" w:hAnsi="Times New Roman"/>
              </w:rPr>
              <w:t>3. Actor-Partner Interdependence Models – expanded description</w:t>
              <w:tab/>
              <w:t>9</w:t>
            </w:r>
          </w:hyperlink>
        </w:p>
        <w:p>
          <w:pPr>
            <w:pStyle w:val="TOC1"/>
            <w:tabs>
              <w:tab w:val="clear" w:pos="14570"/>
              <w:tab w:val="right" w:pos="9637" w:leader="dot"/>
            </w:tabs>
            <w:rPr/>
          </w:pPr>
          <w:hyperlink w:anchor="__RefHeading___Toc17707_3872103911" w:tooltip="4. Romantic Partner Objectification Scale">
            <w:r>
              <w:rPr>
                <w:rStyle w:val="czeindeksu"/>
                <w:rFonts w:ascii="Times New Roman" w:hAnsi="Times New Roman"/>
              </w:rPr>
              <w:t>4. Romantic Partner Objectification Scale</w:t>
              <w:tab/>
              <w:t>12</w:t>
            </w:r>
          </w:hyperlink>
        </w:p>
        <w:p>
          <w:pPr>
            <w:pStyle w:val="TOC1"/>
            <w:tabs>
              <w:tab w:val="clear" w:pos="14570"/>
              <w:tab w:val="right" w:pos="9637" w:leader="dot"/>
            </w:tabs>
            <w:rPr/>
          </w:pPr>
          <w:hyperlink w:anchor="__RefHeading___Toc7359_3367103188" w:tooltip="References">
            <w:r>
              <w:rPr>
                <w:rStyle w:val="czeindeksu"/>
                <w:rFonts w:ascii="Times New Roman" w:hAnsi="Times New Roman"/>
              </w:rPr>
              <w:t>References</w:t>
              <w:tab/>
              <w:t>14</w:t>
            </w:r>
          </w:hyperlink>
          <w:r>
            <w:rPr>
              <w:rStyle w:val="czeindeksu"/>
              <w:rFonts w:ascii="Times New Roman" w:hAnsi="Times New Roman"/>
            </w:rPr>
            <w:fldChar w:fldCharType="end"/>
          </w:r>
        </w:p>
      </w:sdtContent>
    </w:sdt>
    <w:p>
      <w:pPr>
        <w:pStyle w:val="Heading1"/>
        <w:numPr>
          <w:ilvl w:val="0"/>
          <w:numId w:val="1"/>
        </w:numPr>
        <w:spacing w:lineRule="auto" w:line="360" w:before="0" w:after="0"/>
        <w:rPr>
          <w:rFonts w:ascii="Times New Roman" w:hAnsi="Times New Roman"/>
          <w:lang w:val="en-US"/>
        </w:rPr>
      </w:pPr>
      <w:r>
        <w:rPr>
          <w:rFonts w:ascii="Times New Roman" w:hAnsi="Times New Roman"/>
          <w:lang w:val="en-US"/>
        </w:rPr>
      </w:r>
    </w:p>
    <w:p>
      <w:pPr>
        <w:pStyle w:val="Heading1"/>
        <w:numPr>
          <w:ilvl w:val="0"/>
          <w:numId w:val="0"/>
        </w:numPr>
        <w:spacing w:lineRule="auto" w:line="360" w:before="0" w:after="0"/>
        <w:ind w:hanging="0" w:start="0"/>
        <w:rPr>
          <w:rFonts w:ascii="Times New Roman" w:hAnsi="Times New Roman"/>
          <w:lang w:val="en-US"/>
        </w:rPr>
      </w:pPr>
      <w:r>
        <w:rPr>
          <w:rFonts w:ascii="Times New Roman" w:hAnsi="Times New Roman"/>
          <w:lang w:val="en-US"/>
        </w:rPr>
      </w:r>
    </w:p>
    <w:p>
      <w:pPr>
        <w:pStyle w:val="Normal"/>
        <w:spacing w:lineRule="auto" w:line="360"/>
        <w:rPr>
          <w:rFonts w:ascii="Times New Roman" w:hAnsi="Times New Roman"/>
          <w:lang w:val="en-US"/>
        </w:rPr>
      </w:pPr>
      <w:r>
        <w:rPr>
          <w:rFonts w:ascii="Times New Roman" w:hAnsi="Times New Roman"/>
          <w:lang w:val="en-US"/>
        </w:rPr>
      </w:r>
    </w:p>
    <w:p>
      <w:pPr>
        <w:pStyle w:val="Normal"/>
        <w:spacing w:lineRule="auto" w:line="360"/>
        <w:rPr>
          <w:rFonts w:ascii="Times New Roman" w:hAnsi="Times New Roman" w:hint="eastAsia"/>
          <w:lang w:val="en-US"/>
        </w:rPr>
      </w:pPr>
      <w:r>
        <w:rPr>
          <w:rFonts w:hint="eastAsia" w:ascii="Times New Roman" w:hAnsi="Times New Roman"/>
          <w:lang w:val="en-US"/>
        </w:rPr>
      </w:r>
    </w:p>
    <w:p>
      <w:pPr>
        <w:pStyle w:val="Normal"/>
        <w:spacing w:lineRule="auto" w:line="360"/>
        <w:rPr>
          <w:rFonts w:ascii="Times New Roman" w:hAnsi="Times New Roman" w:hint="eastAsia"/>
          <w:lang w:val="en-US"/>
        </w:rPr>
      </w:pPr>
      <w:r>
        <w:rPr>
          <w:rFonts w:hint="eastAsia" w:ascii="Times New Roman" w:hAnsi="Times New Roman"/>
          <w:lang w:val="en-US"/>
        </w:rPr>
      </w:r>
      <w:r>
        <w:br w:type="page"/>
      </w:r>
    </w:p>
    <w:p>
      <w:pPr>
        <w:pStyle w:val="Heading1"/>
        <w:numPr>
          <w:ilvl w:val="0"/>
          <w:numId w:val="1"/>
        </w:numPr>
        <w:spacing w:lineRule="auto" w:line="360" w:before="0" w:after="0"/>
        <w:rPr/>
      </w:pPr>
      <w:bookmarkStart w:id="1" w:name="__RefHeading___Toc17711_3872103911"/>
      <w:bookmarkStart w:id="2" w:name="_Toc232183040"/>
      <w:bookmarkEnd w:id="1"/>
      <w:r>
        <w:rPr>
          <w:rStyle w:val="Strong"/>
          <w:rFonts w:ascii="Times New Roman" w:hAnsi="Times New Roman"/>
          <w:color w:val="000000"/>
          <w:sz w:val="24"/>
          <w:szCs w:val="24"/>
          <w:u w:val="single"/>
          <w:lang w:val="en-US"/>
        </w:rPr>
        <w:t>1. Assessment of Validity of Romantic Partner Objectification Scale</w:t>
      </w:r>
      <w:bookmarkEnd w:id="2"/>
    </w:p>
    <w:p>
      <w:pPr>
        <w:pStyle w:val="Heading2"/>
        <w:numPr>
          <w:ilvl w:val="0"/>
          <w:numId w:val="1"/>
        </w:numPr>
        <w:rPr>
          <w:rFonts w:hint="eastAsia"/>
          <w:lang w:val="en-US"/>
        </w:rPr>
      </w:pPr>
      <w:bookmarkStart w:id="3" w:name="__RefHeading___Toc13055_2139732366"/>
      <w:bookmarkStart w:id="4" w:name="_Toc232183041"/>
      <w:bookmarkEnd w:id="3"/>
      <w:r>
        <w:rPr>
          <w:rStyle w:val="Strong"/>
          <w:rFonts w:ascii="Times New Roman" w:hAnsi="Times New Roman"/>
          <w:b/>
          <w:bCs/>
          <w:color w:val="000000"/>
          <w:sz w:val="24"/>
          <w:szCs w:val="24"/>
          <w:u w:val="single"/>
          <w:lang w:val="en-US"/>
        </w:rPr>
        <w:t>1.1. Reliability, Conver</w:t>
      </w:r>
      <w:r>
        <w:rPr>
          <w:rStyle w:val="Strong"/>
          <w:rFonts w:ascii="Times New Roman" w:hAnsi="Times New Roman"/>
          <w:b/>
          <w:bCs/>
          <w:color w:val="000000"/>
          <w:sz w:val="24"/>
          <w:szCs w:val="24"/>
          <w:u w:val="single"/>
          <w:lang w:val="en-US"/>
        </w:rPr>
        <w:t>gent and Discriminant Validity – initial validation</w:t>
      </w:r>
      <w:bookmarkEnd w:id="4"/>
    </w:p>
    <w:p>
      <w:pPr>
        <w:pStyle w:val="BodyText"/>
        <w:numPr>
          <w:ilvl w:val="0"/>
          <w:numId w:val="1"/>
        </w:numPr>
        <w:spacing w:lineRule="auto" w:line="360"/>
        <w:rPr>
          <w:rFonts w:ascii="Times New Roman" w:hAnsi="Times New Roman" w:eastAsia="Times New Roman" w:cs="Times New Roman"/>
          <w:b/>
          <w:bCs/>
          <w:color w:val="000000"/>
          <w:sz w:val="22"/>
          <w:szCs w:val="22"/>
          <w:lang w:val="en-US" w:eastAsia="pl-PL"/>
        </w:rPr>
      </w:pPr>
      <w:r>
        <w:rPr>
          <w:rFonts w:eastAsia="Times New Roman" w:cs="Times New Roman" w:ascii="Times New Roman" w:hAnsi="Times New Roman"/>
          <w:b/>
          <w:bCs/>
          <w:color w:val="000000"/>
          <w:sz w:val="22"/>
          <w:szCs w:val="22"/>
          <w:lang w:val="en-US" w:eastAsia="pl-PL"/>
        </w:rPr>
      </w:r>
    </w:p>
    <w:p>
      <w:pPr>
        <w:pStyle w:val="BodyText"/>
        <w:numPr>
          <w:ilvl w:val="0"/>
          <w:numId w:val="1"/>
        </w:numPr>
        <w:spacing w:lineRule="auto" w:line="480" w:before="0" w:after="0"/>
        <w:rPr>
          <w:rFonts w:hint="eastAsia"/>
          <w:lang w:val="en-US"/>
        </w:rPr>
      </w:pPr>
      <w:r>
        <w:rPr>
          <w:rStyle w:val="Strong"/>
          <w:rFonts w:eastAsia="Times New Roman" w:cs="Times New Roman" w:ascii="Times New Roman" w:hAnsi="Times New Roman"/>
          <w:b w:val="false"/>
          <w:bCs w:val="false"/>
          <w:color w:val="000000"/>
          <w:lang w:val="en-US" w:eastAsia="pl-PL"/>
        </w:rPr>
        <w:tab/>
      </w:r>
      <w:r>
        <w:rPr>
          <w:rStyle w:val="Strong"/>
          <w:rFonts w:eastAsia="Times New Roman" w:cs="Times New Roman" w:ascii="Times New Roman" w:hAnsi="Times New Roman"/>
          <w:b w:val="false"/>
          <w:bCs w:val="false"/>
          <w:iCs/>
          <w:color w:val="000000"/>
          <w:lang w:val="en-US" w:eastAsia="pl-PL"/>
        </w:rPr>
        <w:t xml:space="preserve">The initial validation of the Romantic Partner Objectification Scale was provided by Kozłowska [1]. </w:t>
      </w:r>
      <w:r>
        <w:rPr>
          <w:rStyle w:val="Strong"/>
          <w:rFonts w:eastAsia="Times New Roman" w:cs="Times New Roman" w:ascii="Times New Roman" w:hAnsi="Times New Roman"/>
          <w:b w:val="false"/>
          <w:bCs w:val="false"/>
          <w:color w:val="000000"/>
          <w:lang w:val="en-US" w:eastAsia="pl-PL"/>
        </w:rPr>
        <w:t xml:space="preserve">In a study conducted on a sample of </w:t>
      </w:r>
      <w:r>
        <w:rPr>
          <w:rStyle w:val="Strong"/>
          <w:rFonts w:eastAsia="Times New Roman" w:cs="Times New Roman" w:ascii="Times New Roman" w:hAnsi="Times New Roman"/>
          <w:b w:val="false"/>
          <w:bCs w:val="false"/>
          <w:i/>
          <w:iCs/>
          <w:color w:val="000000"/>
          <w:lang w:val="en-US" w:eastAsia="pl-PL"/>
        </w:rPr>
        <w:t>N</w:t>
      </w:r>
      <w:r>
        <w:rPr>
          <w:rStyle w:val="Strong"/>
          <w:rFonts w:eastAsia="Times New Roman" w:cs="Times New Roman" w:ascii="Times New Roman" w:hAnsi="Times New Roman"/>
          <w:b w:val="false"/>
          <w:bCs w:val="false"/>
          <w:color w:val="000000"/>
          <w:lang w:val="en-US" w:eastAsia="pl-PL"/>
        </w:rPr>
        <w:t xml:space="preserve"> = 318 individuals (48.90% women), the reliability of the scale, estimated using Cronbach’s α, was .84, indicating high internal consistency.</w:t>
      </w:r>
    </w:p>
    <w:p>
      <w:pPr>
        <w:pStyle w:val="BodyText"/>
        <w:numPr>
          <w:ilvl w:val="0"/>
          <w:numId w:val="1"/>
        </w:numPr>
        <w:spacing w:lineRule="auto" w:line="480" w:before="0" w:after="0"/>
        <w:rPr>
          <w:rFonts w:hint="eastAsia"/>
          <w:lang w:val="en-US"/>
        </w:rPr>
      </w:pPr>
      <w:r>
        <w:rPr>
          <w:rStyle w:val="Strong"/>
          <w:rFonts w:eastAsia="Times New Roman" w:cs="Times New Roman" w:ascii="Times New Roman" w:hAnsi="Times New Roman"/>
          <w:b w:val="false"/>
          <w:bCs w:val="false"/>
          <w:color w:val="000000"/>
          <w:lang w:val="en-US" w:eastAsia="pl-PL"/>
        </w:rPr>
        <w:tab/>
        <w:t>Convergent and divergent validity of the scale was assessed through its correlations with the IPIP-BFM-20 Big Five measure [2], the Dark Triad measure [3], the exploitativeness scale translated into Polish [4], and two subscales of the Personal Norm of Reciprocity questionnaire [5]. The positive reciprocity subscale measures the extent to which a person feels obligated to reciprocate benefits or favors received from others. The negative reciprocity subscale, in turn, measures the tendency to retaliate against others for losses or harms incurred.</w:t>
      </w:r>
    </w:p>
    <w:p>
      <w:pPr>
        <w:pStyle w:val="BodyText"/>
        <w:numPr>
          <w:ilvl w:val="0"/>
          <w:numId w:val="1"/>
        </w:numPr>
        <w:spacing w:lineRule="auto" w:line="480" w:before="0" w:after="0"/>
        <w:rPr>
          <w:rFonts w:hint="eastAsia"/>
          <w:lang w:val="en-US"/>
        </w:rPr>
      </w:pPr>
      <w:r>
        <w:rPr>
          <w:rStyle w:val="Strong"/>
          <w:rFonts w:eastAsia="Times New Roman" w:cs="Times New Roman" w:ascii="Times New Roman" w:hAnsi="Times New Roman"/>
          <w:b w:val="false"/>
          <w:bCs w:val="false"/>
          <w:color w:val="000000"/>
          <w:lang w:val="en-US" w:eastAsia="pl-PL"/>
        </w:rPr>
        <w:tab/>
        <w:t>We assumed that convergent validity would be indicated by positive correlations with measures of exploitativeness, narcissism, Machiavellianism, psychopathy, and negative reciprocity, as well as negative correlations with agreeableness, conscientiousness, and positive reciprocity.  The effects were consistent with expectations and provide evidence for convergent validity of the scale. The absence of correlations between self-reported partner objectification and measures of extraversion, and emotional stability provide evidence for the scale’s divergent validity (Table S1).</w:t>
      </w:r>
    </w:p>
    <w:p>
      <w:pPr>
        <w:pStyle w:val="Nagwektabeliuser"/>
        <w:numPr>
          <w:ilvl w:val="0"/>
          <w:numId w:val="1"/>
        </w:numPr>
        <w:spacing w:lineRule="auto" w:line="360"/>
        <w:jc w:val="start"/>
        <w:rPr>
          <w:rFonts w:hint="eastAsia"/>
          <w:lang w:val="en-US"/>
        </w:rPr>
      </w:pPr>
      <w:r>
        <w:rPr>
          <w:rStyle w:val="Strong"/>
          <w:rFonts w:ascii="Times New Roman" w:hAnsi="Times New Roman"/>
          <w:b/>
          <w:bCs/>
          <w:lang w:val="en-US"/>
        </w:rPr>
        <w:t>Table S1.</w:t>
      </w:r>
      <w:r>
        <w:rPr>
          <w:rStyle w:val="Strong"/>
          <w:rFonts w:ascii="Times New Roman" w:hAnsi="Times New Roman"/>
          <w:b w:val="false"/>
          <w:bCs w:val="false"/>
          <w:lang w:val="en-US"/>
        </w:rPr>
        <w:t xml:space="preserve"> </w:t>
      </w:r>
      <w:r>
        <w:rPr>
          <w:rStyle w:val="Emphasis"/>
          <w:rFonts w:ascii="Times New Roman" w:hAnsi="Times New Roman"/>
          <w:b w:val="false"/>
          <w:bCs w:val="false"/>
          <w:lang w:val="en-US"/>
        </w:rPr>
        <w:t>Descriptive statistics and correlations between partner objectification and personality variables (N = 314).</w:t>
      </w:r>
    </w:p>
    <w:tbl>
      <w:tblPr>
        <w:tblW w:w="9635" w:type="dxa"/>
        <w:jc w:val="start"/>
        <w:tblInd w:w="0" w:type="dxa"/>
        <w:tblLayout w:type="fixed"/>
        <w:tblCellMar>
          <w:top w:w="0" w:type="dxa"/>
          <w:start w:w="0" w:type="dxa"/>
          <w:bottom w:w="0" w:type="dxa"/>
          <w:end w:w="0" w:type="dxa"/>
        </w:tblCellMar>
        <w:tblLook w:val="0000" w:firstRow="0" w:noVBand="0" w:lastRow="0" w:firstColumn="0" w:lastColumn="0" w:noHBand="0"/>
      </w:tblPr>
      <w:tblGrid>
        <w:gridCol w:w="1309"/>
        <w:gridCol w:w="694"/>
        <w:gridCol w:w="689"/>
        <w:gridCol w:w="692"/>
        <w:gridCol w:w="701"/>
        <w:gridCol w:w="692"/>
        <w:gridCol w:w="689"/>
        <w:gridCol w:w="701"/>
        <w:gridCol w:w="696"/>
        <w:gridCol w:w="686"/>
        <w:gridCol w:w="693"/>
        <w:gridCol w:w="706"/>
        <w:gridCol w:w="687"/>
      </w:tblGrid>
      <w:tr>
        <w:trPr/>
        <w:tc>
          <w:tcPr>
            <w:tcW w:w="1309" w:type="dxa"/>
            <w:tcBorders>
              <w:top w:val="single" w:sz="4" w:space="0" w:color="000000"/>
              <w:bottom w:val="single" w:sz="4" w:space="0" w:color="000000"/>
            </w:tcBorders>
            <w:vAlign w:val="center"/>
          </w:tcPr>
          <w:p>
            <w:pPr>
              <w:pStyle w:val="Normal"/>
              <w:numPr>
                <w:ilvl w:val="0"/>
                <w:numId w:val="1"/>
              </w:numPr>
              <w:spacing w:lineRule="auto" w:line="360"/>
              <w:ind w:start="-39"/>
              <w:rPr>
                <w:rFonts w:ascii="Times New Roman" w:hAnsi="Times New Roman"/>
                <w:i/>
                <w:iCs/>
                <w:sz w:val="20"/>
                <w:szCs w:val="20"/>
                <w:lang w:val="en-US"/>
              </w:rPr>
            </w:pPr>
            <w:r>
              <w:rPr>
                <w:rFonts w:ascii="Times New Roman" w:hAnsi="Times New Roman"/>
                <w:i/>
                <w:iCs/>
                <w:sz w:val="20"/>
                <w:szCs w:val="20"/>
                <w:lang w:val="en-US"/>
              </w:rPr>
            </w:r>
          </w:p>
        </w:tc>
        <w:tc>
          <w:tcPr>
            <w:tcW w:w="694" w:type="dxa"/>
            <w:tcBorders>
              <w:top w:val="single" w:sz="4" w:space="0" w:color="000000"/>
              <w:bottom w:val="single" w:sz="4" w:space="0" w:color="000000"/>
            </w:tcBorders>
          </w:tcPr>
          <w:p>
            <w:pPr>
              <w:pStyle w:val="Normal"/>
              <w:numPr>
                <w:ilvl w:val="0"/>
                <w:numId w:val="1"/>
              </w:numPr>
              <w:spacing w:lineRule="auto" w:line="360"/>
              <w:jc w:val="center"/>
              <w:rPr>
                <w:rFonts w:ascii="Times New Roman" w:hAnsi="Times New Roman"/>
              </w:rPr>
            </w:pPr>
            <w:r>
              <w:rPr>
                <w:rFonts w:ascii="Times New Roman" w:hAnsi="Times New Roman"/>
                <w:b/>
                <w:bCs/>
                <w:sz w:val="20"/>
                <w:szCs w:val="20"/>
              </w:rPr>
              <w:t>1</w:t>
            </w:r>
          </w:p>
        </w:tc>
        <w:tc>
          <w:tcPr>
            <w:tcW w:w="689" w:type="dxa"/>
            <w:tcBorders>
              <w:top w:val="single" w:sz="4" w:space="0" w:color="000000"/>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b/>
                <w:bCs/>
                <w:sz w:val="20"/>
                <w:szCs w:val="20"/>
              </w:rPr>
              <w:t>2</w:t>
            </w:r>
          </w:p>
        </w:tc>
        <w:tc>
          <w:tcPr>
            <w:tcW w:w="692" w:type="dxa"/>
            <w:tcBorders>
              <w:top w:val="single" w:sz="4" w:space="0" w:color="000000"/>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b/>
                <w:bCs/>
                <w:sz w:val="20"/>
                <w:szCs w:val="20"/>
              </w:rPr>
              <w:t>3</w:t>
            </w:r>
          </w:p>
        </w:tc>
        <w:tc>
          <w:tcPr>
            <w:tcW w:w="701" w:type="dxa"/>
            <w:tcBorders>
              <w:top w:val="single" w:sz="4" w:space="0" w:color="000000"/>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b/>
                <w:bCs/>
                <w:sz w:val="20"/>
                <w:szCs w:val="20"/>
              </w:rPr>
              <w:t>4</w:t>
            </w:r>
          </w:p>
        </w:tc>
        <w:tc>
          <w:tcPr>
            <w:tcW w:w="692" w:type="dxa"/>
            <w:tcBorders>
              <w:top w:val="single" w:sz="4" w:space="0" w:color="000000"/>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b/>
                <w:bCs/>
                <w:sz w:val="20"/>
                <w:szCs w:val="20"/>
              </w:rPr>
              <w:t>5</w:t>
            </w:r>
          </w:p>
        </w:tc>
        <w:tc>
          <w:tcPr>
            <w:tcW w:w="689" w:type="dxa"/>
            <w:tcBorders>
              <w:top w:val="single" w:sz="4" w:space="0" w:color="000000"/>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b/>
                <w:bCs/>
                <w:sz w:val="20"/>
                <w:szCs w:val="20"/>
              </w:rPr>
              <w:t>6</w:t>
            </w:r>
          </w:p>
        </w:tc>
        <w:tc>
          <w:tcPr>
            <w:tcW w:w="701" w:type="dxa"/>
            <w:tcBorders>
              <w:top w:val="single" w:sz="4" w:space="0" w:color="000000"/>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b/>
                <w:bCs/>
                <w:sz w:val="20"/>
                <w:szCs w:val="20"/>
              </w:rPr>
              <w:t>7</w:t>
            </w:r>
          </w:p>
        </w:tc>
        <w:tc>
          <w:tcPr>
            <w:tcW w:w="696" w:type="dxa"/>
            <w:tcBorders>
              <w:top w:val="single" w:sz="4" w:space="0" w:color="000000"/>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b/>
                <w:bCs/>
                <w:sz w:val="20"/>
                <w:szCs w:val="20"/>
              </w:rPr>
              <w:t>8</w:t>
            </w:r>
          </w:p>
        </w:tc>
        <w:tc>
          <w:tcPr>
            <w:tcW w:w="686" w:type="dxa"/>
            <w:tcBorders>
              <w:top w:val="single" w:sz="4" w:space="0" w:color="000000"/>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b/>
                <w:bCs/>
                <w:sz w:val="20"/>
                <w:szCs w:val="20"/>
              </w:rPr>
              <w:t>9</w:t>
            </w:r>
          </w:p>
        </w:tc>
        <w:tc>
          <w:tcPr>
            <w:tcW w:w="693" w:type="dxa"/>
            <w:tcBorders>
              <w:top w:val="single" w:sz="4" w:space="0" w:color="000000"/>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b/>
                <w:bCs/>
                <w:sz w:val="20"/>
                <w:szCs w:val="20"/>
              </w:rPr>
              <w:t>10</w:t>
            </w:r>
          </w:p>
        </w:tc>
        <w:tc>
          <w:tcPr>
            <w:tcW w:w="706" w:type="dxa"/>
            <w:tcBorders>
              <w:top w:val="single" w:sz="4" w:space="0" w:color="000000"/>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b/>
                <w:bCs/>
                <w:sz w:val="20"/>
                <w:szCs w:val="20"/>
              </w:rPr>
              <w:t>11</w:t>
            </w:r>
          </w:p>
        </w:tc>
        <w:tc>
          <w:tcPr>
            <w:tcW w:w="687" w:type="dxa"/>
            <w:tcBorders>
              <w:top w:val="single" w:sz="4" w:space="0" w:color="000000"/>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b/>
                <w:bCs/>
                <w:sz w:val="20"/>
                <w:szCs w:val="20"/>
              </w:rPr>
              <w:t>12</w:t>
            </w:r>
          </w:p>
        </w:tc>
      </w:tr>
      <w:tr>
        <w:trPr/>
        <w:tc>
          <w:tcPr>
            <w:tcW w:w="1309" w:type="dxa"/>
            <w:tcBorders/>
            <w:vAlign w:val="center"/>
          </w:tcPr>
          <w:p>
            <w:pPr>
              <w:pStyle w:val="Normal"/>
              <w:numPr>
                <w:ilvl w:val="0"/>
                <w:numId w:val="1"/>
              </w:numPr>
              <w:tabs>
                <w:tab w:val="clear" w:pos="709"/>
                <w:tab w:val="left" w:pos="736" w:leader="none"/>
              </w:tabs>
              <w:spacing w:lineRule="auto" w:line="360"/>
              <w:ind w:hanging="340" w:start="454"/>
              <w:rPr>
                <w:rFonts w:ascii="Times New Roman" w:hAnsi="Times New Roman"/>
              </w:rPr>
            </w:pPr>
            <w:r>
              <w:rPr>
                <w:rFonts w:eastAsia="Times New Roman" w:cs="Times New Roman" w:ascii="Times New Roman" w:hAnsi="Times New Roman"/>
                <w:color w:themeColor="text1" w:val="000000"/>
                <w:sz w:val="20"/>
                <w:szCs w:val="20"/>
              </w:rPr>
              <w:t>PO</w:t>
            </w:r>
          </w:p>
        </w:tc>
        <w:tc>
          <w:tcPr>
            <w:tcW w:w="694" w:type="dxa"/>
            <w:tcBorders/>
          </w:tcPr>
          <w:p>
            <w:pPr>
              <w:pStyle w:val="Normal"/>
              <w:numPr>
                <w:ilvl w:val="0"/>
                <w:numId w:val="1"/>
              </w:numPr>
              <w:spacing w:lineRule="auto" w:line="360"/>
              <w:jc w:val="center"/>
              <w:rPr>
                <w:rFonts w:ascii="Times New Roman" w:hAnsi="Times New Roman"/>
              </w:rPr>
            </w:pPr>
            <w:r>
              <w:rPr>
                <w:rFonts w:ascii="Times New Roman" w:hAnsi="Times New Roman"/>
                <w:sz w:val="20"/>
                <w:szCs w:val="20"/>
              </w:rPr>
              <w:t>-</w:t>
            </w:r>
          </w:p>
        </w:tc>
        <w:tc>
          <w:tcPr>
            <w:tcW w:w="689"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2"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1"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2"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9"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1"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3"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7"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r>
      <w:tr>
        <w:trPr/>
        <w:tc>
          <w:tcPr>
            <w:tcW w:w="1309" w:type="dxa"/>
            <w:tcBorders/>
            <w:vAlign w:val="center"/>
          </w:tcPr>
          <w:p>
            <w:pPr>
              <w:pStyle w:val="Normal"/>
              <w:numPr>
                <w:ilvl w:val="0"/>
                <w:numId w:val="1"/>
              </w:numPr>
              <w:tabs>
                <w:tab w:val="clear" w:pos="709"/>
                <w:tab w:val="left" w:pos="736" w:leader="none"/>
              </w:tabs>
              <w:spacing w:lineRule="auto" w:line="360"/>
              <w:ind w:hanging="340" w:start="454"/>
              <w:rPr>
                <w:rFonts w:ascii="Times New Roman" w:hAnsi="Times New Roman"/>
              </w:rPr>
            </w:pPr>
            <w:r>
              <w:rPr>
                <w:rFonts w:eastAsia="Times New Roman" w:cs="Times New Roman" w:ascii="Times New Roman" w:hAnsi="Times New Roman"/>
                <w:color w:themeColor="text1" w:val="000000"/>
                <w:sz w:val="20"/>
                <w:szCs w:val="20"/>
              </w:rPr>
              <w:t>IPIP_E</w:t>
            </w:r>
          </w:p>
        </w:tc>
        <w:tc>
          <w:tcPr>
            <w:tcW w:w="694" w:type="dxa"/>
            <w:tcBorders/>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-.06</w:t>
            </w:r>
          </w:p>
        </w:tc>
        <w:tc>
          <w:tcPr>
            <w:tcW w:w="689"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2"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1"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2"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9"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1"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3"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7"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r>
      <w:tr>
        <w:trPr/>
        <w:tc>
          <w:tcPr>
            <w:tcW w:w="1309" w:type="dxa"/>
            <w:tcBorders/>
            <w:vAlign w:val="center"/>
          </w:tcPr>
          <w:p>
            <w:pPr>
              <w:pStyle w:val="Normal"/>
              <w:numPr>
                <w:ilvl w:val="0"/>
                <w:numId w:val="1"/>
              </w:numPr>
              <w:tabs>
                <w:tab w:val="clear" w:pos="709"/>
                <w:tab w:val="left" w:pos="736" w:leader="none"/>
              </w:tabs>
              <w:spacing w:lineRule="auto" w:line="360"/>
              <w:ind w:hanging="340" w:start="454"/>
              <w:rPr>
                <w:rFonts w:ascii="Times New Roman" w:hAnsi="Times New Roman"/>
              </w:rPr>
            </w:pPr>
            <w:r>
              <w:rPr>
                <w:rFonts w:eastAsia="Times New Roman" w:cs="Times New Roman" w:ascii="Times New Roman" w:hAnsi="Times New Roman"/>
                <w:color w:themeColor="text1" w:val="000000"/>
                <w:sz w:val="20"/>
                <w:szCs w:val="20"/>
              </w:rPr>
              <w:t>IPIP_A</w:t>
            </w:r>
          </w:p>
        </w:tc>
        <w:tc>
          <w:tcPr>
            <w:tcW w:w="694" w:type="dxa"/>
            <w:tcBorders/>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-.34</w:t>
            </w:r>
            <w:r>
              <w:rPr>
                <w:rFonts w:eastAsia="Times New Roman" w:cs="Times New Roman" w:ascii="Times New Roman" w:hAnsi="Times New Roman"/>
                <w:color w:themeColor="text1" w:val="000000"/>
                <w:sz w:val="20"/>
                <w:szCs w:val="20"/>
                <w:vertAlign w:val="superscript"/>
              </w:rPr>
              <w:t>***</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.36</w:t>
            </w:r>
            <w:r>
              <w:rPr>
                <w:rFonts w:eastAsia="Times New Roman" w:cs="Times New Roman" w:ascii="Times New Roman" w:hAnsi="Times New Roman"/>
                <w:color w:themeColor="text1" w:val="000000"/>
                <w:sz w:val="20"/>
                <w:szCs w:val="20"/>
                <w:vertAlign w:val="superscript"/>
              </w:rPr>
              <w:t>***</w:t>
            </w:r>
          </w:p>
        </w:tc>
        <w:tc>
          <w:tcPr>
            <w:tcW w:w="692"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1"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2"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9"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1"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3"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7"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r>
      <w:tr>
        <w:trPr/>
        <w:tc>
          <w:tcPr>
            <w:tcW w:w="1309" w:type="dxa"/>
            <w:tcBorders/>
            <w:vAlign w:val="center"/>
          </w:tcPr>
          <w:p>
            <w:pPr>
              <w:pStyle w:val="Normal"/>
              <w:numPr>
                <w:ilvl w:val="0"/>
                <w:numId w:val="1"/>
              </w:numPr>
              <w:tabs>
                <w:tab w:val="clear" w:pos="709"/>
                <w:tab w:val="left" w:pos="736" w:leader="none"/>
              </w:tabs>
              <w:spacing w:lineRule="auto" w:line="360"/>
              <w:ind w:hanging="340" w:start="454"/>
              <w:rPr>
                <w:rFonts w:ascii="Times New Roman" w:hAnsi="Times New Roman"/>
              </w:rPr>
            </w:pPr>
            <w:r>
              <w:rPr>
                <w:rFonts w:eastAsia="Times New Roman" w:cs="Times New Roman" w:ascii="Times New Roman" w:hAnsi="Times New Roman"/>
                <w:color w:themeColor="text1" w:val="000000"/>
                <w:sz w:val="20"/>
                <w:szCs w:val="20"/>
              </w:rPr>
              <w:t>IPIP_C</w:t>
            </w:r>
          </w:p>
        </w:tc>
        <w:tc>
          <w:tcPr>
            <w:tcW w:w="694" w:type="dxa"/>
            <w:tcBorders/>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-.21</w:t>
            </w:r>
            <w:r>
              <w:rPr>
                <w:rFonts w:eastAsia="Times New Roman" w:cs="Times New Roman" w:ascii="Times New Roman" w:hAnsi="Times New Roman"/>
                <w:color w:themeColor="text1" w:val="000000"/>
                <w:sz w:val="20"/>
                <w:szCs w:val="20"/>
                <w:vertAlign w:val="superscript"/>
              </w:rPr>
              <w:t>***</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.14</w:t>
            </w:r>
            <w:r>
              <w:rPr>
                <w:rFonts w:eastAsia="Times New Roman" w:cs="Times New Roman" w:ascii="Times New Roman" w:hAnsi="Times New Roman"/>
                <w:color w:themeColor="text1" w:val="000000"/>
                <w:sz w:val="20"/>
                <w:szCs w:val="20"/>
                <w:vertAlign w:val="superscript"/>
              </w:rPr>
              <w:t>*</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.18</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2"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9"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1"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3"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7"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r>
      <w:tr>
        <w:trPr/>
        <w:tc>
          <w:tcPr>
            <w:tcW w:w="1309" w:type="dxa"/>
            <w:tcBorders/>
            <w:vAlign w:val="center"/>
          </w:tcPr>
          <w:p>
            <w:pPr>
              <w:pStyle w:val="Normal"/>
              <w:numPr>
                <w:ilvl w:val="0"/>
                <w:numId w:val="1"/>
              </w:numPr>
              <w:tabs>
                <w:tab w:val="clear" w:pos="709"/>
                <w:tab w:val="left" w:pos="736" w:leader="none"/>
              </w:tabs>
              <w:spacing w:lineRule="auto" w:line="360"/>
              <w:ind w:hanging="340" w:start="454"/>
              <w:rPr>
                <w:rFonts w:ascii="Times New Roman" w:hAnsi="Times New Roman"/>
              </w:rPr>
            </w:pPr>
            <w:r>
              <w:rPr>
                <w:rFonts w:eastAsia="Times New Roman" w:cs="Times New Roman" w:ascii="Times New Roman" w:hAnsi="Times New Roman"/>
                <w:color w:themeColor="text1" w:val="000000"/>
                <w:sz w:val="20"/>
                <w:szCs w:val="20"/>
              </w:rPr>
              <w:t>IPIP_ES</w:t>
            </w:r>
          </w:p>
        </w:tc>
        <w:tc>
          <w:tcPr>
            <w:tcW w:w="694" w:type="dxa"/>
            <w:tcBorders/>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.08</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-.39</w:t>
            </w:r>
            <w:r>
              <w:rPr>
                <w:rFonts w:eastAsia="Times New Roman" w:cs="Times New Roman" w:ascii="Times New Roman" w:hAnsi="Times New Roman"/>
                <w:color w:themeColor="text1" w:val="000000"/>
                <w:sz w:val="20"/>
                <w:szCs w:val="20"/>
                <w:vertAlign w:val="superscript"/>
              </w:rPr>
              <w:t>***</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-.14</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-.20</w:t>
            </w:r>
            <w:r>
              <w:rPr>
                <w:rFonts w:eastAsia="Times New Roman" w:cs="Times New Roman" w:ascii="Times New Roman" w:hAnsi="Times New Roman"/>
                <w:color w:themeColor="text1" w:val="000000"/>
                <w:sz w:val="20"/>
                <w:szCs w:val="20"/>
                <w:vertAlign w:val="superscript"/>
              </w:rPr>
              <w:t>***</w:t>
            </w:r>
          </w:p>
        </w:tc>
        <w:tc>
          <w:tcPr>
            <w:tcW w:w="692"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9"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1"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3"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7"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r>
      <w:tr>
        <w:trPr/>
        <w:tc>
          <w:tcPr>
            <w:tcW w:w="1309" w:type="dxa"/>
            <w:tcBorders/>
            <w:vAlign w:val="center"/>
          </w:tcPr>
          <w:p>
            <w:pPr>
              <w:pStyle w:val="Normal"/>
              <w:numPr>
                <w:ilvl w:val="0"/>
                <w:numId w:val="1"/>
              </w:numPr>
              <w:tabs>
                <w:tab w:val="clear" w:pos="709"/>
                <w:tab w:val="left" w:pos="736" w:leader="none"/>
              </w:tabs>
              <w:spacing w:lineRule="auto" w:line="360"/>
              <w:ind w:hanging="340" w:start="454"/>
              <w:rPr>
                <w:rFonts w:ascii="Times New Roman" w:hAnsi="Times New Roman"/>
              </w:rPr>
            </w:pPr>
            <w:r>
              <w:rPr>
                <w:rFonts w:eastAsia="Times New Roman" w:cs="Times New Roman" w:ascii="Times New Roman" w:hAnsi="Times New Roman"/>
                <w:color w:themeColor="text1" w:val="000000"/>
                <w:sz w:val="20"/>
                <w:szCs w:val="20"/>
              </w:rPr>
              <w:t>IPIP_I</w:t>
            </w:r>
          </w:p>
        </w:tc>
        <w:tc>
          <w:tcPr>
            <w:tcW w:w="694" w:type="dxa"/>
            <w:tcBorders/>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-.25</w:t>
            </w:r>
            <w:r>
              <w:rPr>
                <w:rFonts w:eastAsia="Times New Roman" w:cs="Times New Roman" w:ascii="Times New Roman" w:hAnsi="Times New Roman"/>
                <w:color w:themeColor="text1" w:val="000000"/>
                <w:sz w:val="20"/>
                <w:szCs w:val="20"/>
                <w:vertAlign w:val="superscript"/>
              </w:rPr>
              <w:t>***</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.41</w:t>
            </w:r>
            <w:r>
              <w:rPr>
                <w:rFonts w:eastAsia="Times New Roman" w:cs="Times New Roman" w:ascii="Times New Roman" w:hAnsi="Times New Roman"/>
                <w:color w:themeColor="text1" w:val="000000"/>
                <w:sz w:val="20"/>
                <w:szCs w:val="20"/>
                <w:vertAlign w:val="superscript"/>
              </w:rPr>
              <w:t>***</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.40</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.22</w:t>
            </w:r>
            <w:r>
              <w:rPr>
                <w:rFonts w:eastAsia="Times New Roman" w:cs="Times New Roman" w:ascii="Times New Roman" w:hAnsi="Times New Roman"/>
                <w:color w:themeColor="text1" w:val="000000"/>
                <w:sz w:val="20"/>
                <w:szCs w:val="20"/>
                <w:vertAlign w:val="superscript"/>
              </w:rPr>
              <w:t>***</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-.38</w:t>
            </w:r>
            <w:r>
              <w:rPr>
                <w:rFonts w:eastAsia="Times New Roman" w:cs="Times New Roman" w:ascii="Times New Roman" w:hAnsi="Times New Roman"/>
                <w:color w:themeColor="text1" w:val="000000"/>
                <w:sz w:val="20"/>
                <w:szCs w:val="20"/>
                <w:vertAlign w:val="superscript"/>
              </w:rPr>
              <w:t>***</w:t>
            </w:r>
          </w:p>
        </w:tc>
        <w:tc>
          <w:tcPr>
            <w:tcW w:w="689"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1"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3"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7"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r>
      <w:tr>
        <w:trPr/>
        <w:tc>
          <w:tcPr>
            <w:tcW w:w="1309" w:type="dxa"/>
            <w:tcBorders/>
            <w:vAlign w:val="center"/>
          </w:tcPr>
          <w:p>
            <w:pPr>
              <w:pStyle w:val="Normal"/>
              <w:numPr>
                <w:ilvl w:val="0"/>
                <w:numId w:val="1"/>
              </w:numPr>
              <w:tabs>
                <w:tab w:val="clear" w:pos="709"/>
                <w:tab w:val="left" w:pos="736" w:leader="none"/>
              </w:tabs>
              <w:spacing w:lineRule="auto" w:line="360"/>
              <w:ind w:hanging="340" w:start="454"/>
              <w:rPr>
                <w:rFonts w:ascii="Times New Roman" w:hAnsi="Times New Roman"/>
              </w:rPr>
            </w:pPr>
            <w:r>
              <w:rPr>
                <w:rFonts w:eastAsia="Times New Roman" w:cs="Times New Roman" w:ascii="Times New Roman" w:hAnsi="Times New Roman"/>
                <w:color w:themeColor="text1" w:val="000000"/>
                <w:sz w:val="20"/>
                <w:szCs w:val="20"/>
              </w:rPr>
              <w:t>D12_M</w:t>
            </w:r>
          </w:p>
        </w:tc>
        <w:tc>
          <w:tcPr>
            <w:tcW w:w="694" w:type="dxa"/>
            <w:tcBorders/>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.56</w:t>
            </w:r>
            <w:r>
              <w:rPr>
                <w:rFonts w:eastAsia="Times New Roman" w:cs="Times New Roman" w:ascii="Times New Roman" w:hAnsi="Times New Roman"/>
                <w:color w:themeColor="text1" w:val="000000"/>
                <w:sz w:val="20"/>
                <w:szCs w:val="20"/>
                <w:vertAlign w:val="superscript"/>
              </w:rPr>
              <w:t>***</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.03</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-.26</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-.24</w:t>
            </w:r>
            <w:r>
              <w:rPr>
                <w:rFonts w:eastAsia="Times New Roman" w:cs="Times New Roman" w:ascii="Times New Roman" w:hAnsi="Times New Roman"/>
                <w:color w:themeColor="text1" w:val="000000"/>
                <w:sz w:val="20"/>
                <w:szCs w:val="20"/>
                <w:vertAlign w:val="superscript"/>
              </w:rPr>
              <w:t>***</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.06</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-.10</w:t>
            </w:r>
          </w:p>
        </w:tc>
        <w:tc>
          <w:tcPr>
            <w:tcW w:w="701"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3"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7"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r>
      <w:tr>
        <w:trPr/>
        <w:tc>
          <w:tcPr>
            <w:tcW w:w="1309" w:type="dxa"/>
            <w:tcBorders/>
            <w:vAlign w:val="center"/>
          </w:tcPr>
          <w:p>
            <w:pPr>
              <w:pStyle w:val="Normal"/>
              <w:numPr>
                <w:ilvl w:val="0"/>
                <w:numId w:val="1"/>
              </w:numPr>
              <w:tabs>
                <w:tab w:val="clear" w:pos="709"/>
                <w:tab w:val="left" w:pos="736" w:leader="none"/>
              </w:tabs>
              <w:spacing w:lineRule="auto" w:line="360"/>
              <w:ind w:hanging="340" w:start="454"/>
              <w:rPr>
                <w:rFonts w:ascii="Times New Roman" w:hAnsi="Times New Roman"/>
              </w:rPr>
            </w:pPr>
            <w:r>
              <w:rPr>
                <w:rFonts w:eastAsia="Times New Roman" w:cs="Times New Roman" w:ascii="Times New Roman" w:hAnsi="Times New Roman"/>
                <w:color w:themeColor="text1" w:val="000000"/>
                <w:sz w:val="20"/>
                <w:szCs w:val="20"/>
              </w:rPr>
              <w:t>D12_N</w:t>
            </w:r>
          </w:p>
        </w:tc>
        <w:tc>
          <w:tcPr>
            <w:tcW w:w="694" w:type="dxa"/>
            <w:tcBorders/>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.46</w:t>
            </w:r>
            <w:r>
              <w:rPr>
                <w:rFonts w:eastAsia="Times New Roman" w:cs="Times New Roman" w:ascii="Times New Roman" w:hAnsi="Times New Roman"/>
                <w:color w:themeColor="text1" w:val="000000"/>
                <w:sz w:val="20"/>
                <w:szCs w:val="20"/>
                <w:vertAlign w:val="superscript"/>
              </w:rPr>
              <w:t>***</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.10</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-.14</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-.13</w:t>
            </w:r>
            <w:r>
              <w:rPr>
                <w:rFonts w:eastAsia="Times New Roman" w:cs="Times New Roman" w:ascii="Times New Roman" w:hAnsi="Times New Roman"/>
                <w:color w:themeColor="text1" w:val="000000"/>
                <w:sz w:val="20"/>
                <w:szCs w:val="20"/>
                <w:vertAlign w:val="superscript"/>
              </w:rPr>
              <w:t>*</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.01</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-.02</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.78</w:t>
            </w:r>
            <w:r>
              <w:rPr>
                <w:rFonts w:eastAsia="Times New Roman" w:cs="Times New Roman" w:ascii="Times New Roman" w:hAnsi="Times New Roman"/>
                <w:color w:themeColor="text1" w:val="000000"/>
                <w:sz w:val="20"/>
                <w:szCs w:val="20"/>
                <w:vertAlign w:val="superscript"/>
              </w:rPr>
              <w:t>***</w:t>
            </w:r>
          </w:p>
        </w:tc>
        <w:tc>
          <w:tcPr>
            <w:tcW w:w="69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3"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7"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r>
      <w:tr>
        <w:trPr/>
        <w:tc>
          <w:tcPr>
            <w:tcW w:w="1309" w:type="dxa"/>
            <w:tcBorders/>
            <w:vAlign w:val="center"/>
          </w:tcPr>
          <w:p>
            <w:pPr>
              <w:pStyle w:val="Normal"/>
              <w:numPr>
                <w:ilvl w:val="0"/>
                <w:numId w:val="1"/>
              </w:numPr>
              <w:tabs>
                <w:tab w:val="clear" w:pos="709"/>
                <w:tab w:val="left" w:pos="736" w:leader="none"/>
              </w:tabs>
              <w:spacing w:lineRule="auto" w:line="360"/>
              <w:ind w:hanging="340" w:start="454"/>
              <w:rPr>
                <w:rFonts w:ascii="Times New Roman" w:hAnsi="Times New Roman"/>
              </w:rPr>
            </w:pPr>
            <w:r>
              <w:rPr>
                <w:rFonts w:eastAsia="Times New Roman" w:cs="Times New Roman" w:ascii="Times New Roman" w:hAnsi="Times New Roman"/>
                <w:color w:themeColor="text1" w:val="000000"/>
                <w:sz w:val="20"/>
                <w:szCs w:val="20"/>
              </w:rPr>
              <w:t>D12_P</w:t>
            </w:r>
          </w:p>
        </w:tc>
        <w:tc>
          <w:tcPr>
            <w:tcW w:w="694" w:type="dxa"/>
            <w:tcBorders/>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.52</w:t>
            </w:r>
            <w:r>
              <w:rPr>
                <w:rFonts w:eastAsia="Times New Roman" w:cs="Times New Roman" w:ascii="Times New Roman" w:hAnsi="Times New Roman"/>
                <w:color w:themeColor="text1" w:val="000000"/>
                <w:sz w:val="20"/>
                <w:szCs w:val="20"/>
                <w:vertAlign w:val="superscript"/>
              </w:rPr>
              <w:t>***</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-.02</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-.41</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-.24</w:t>
            </w:r>
            <w:r>
              <w:rPr>
                <w:rFonts w:eastAsia="Times New Roman" w:cs="Times New Roman" w:ascii="Times New Roman" w:hAnsi="Times New Roman"/>
                <w:color w:themeColor="text1" w:val="000000"/>
                <w:sz w:val="20"/>
                <w:szCs w:val="20"/>
                <w:vertAlign w:val="superscript"/>
              </w:rPr>
              <w:t>***</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-.04</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-.18</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.75</w:t>
            </w:r>
            <w:r>
              <w:rPr>
                <w:rFonts w:eastAsia="Times New Roman" w:cs="Times New Roman" w:ascii="Times New Roman" w:hAnsi="Times New Roman"/>
                <w:color w:themeColor="text1" w:val="000000"/>
                <w:sz w:val="20"/>
                <w:szCs w:val="20"/>
                <w:vertAlign w:val="superscript"/>
              </w:rPr>
              <w:t>***</w:t>
            </w:r>
          </w:p>
        </w:tc>
        <w:tc>
          <w:tcPr>
            <w:tcW w:w="696"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.61</w:t>
            </w:r>
            <w:r>
              <w:rPr>
                <w:rFonts w:eastAsia="Times New Roman" w:cs="Times New Roman" w:ascii="Times New Roman" w:hAnsi="Times New Roman"/>
                <w:color w:themeColor="text1" w:val="000000"/>
                <w:sz w:val="20"/>
                <w:szCs w:val="20"/>
                <w:vertAlign w:val="superscript"/>
              </w:rPr>
              <w:t>***</w:t>
            </w:r>
          </w:p>
        </w:tc>
        <w:tc>
          <w:tcPr>
            <w:tcW w:w="68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93"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7"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r>
      <w:tr>
        <w:trPr/>
        <w:tc>
          <w:tcPr>
            <w:tcW w:w="1309" w:type="dxa"/>
            <w:tcBorders/>
            <w:vAlign w:val="center"/>
          </w:tcPr>
          <w:p>
            <w:pPr>
              <w:pStyle w:val="Normal"/>
              <w:numPr>
                <w:ilvl w:val="0"/>
                <w:numId w:val="1"/>
              </w:numPr>
              <w:tabs>
                <w:tab w:val="clear" w:pos="709"/>
                <w:tab w:val="left" w:pos="736" w:leader="none"/>
              </w:tabs>
              <w:spacing w:lineRule="auto" w:line="360"/>
              <w:ind w:hanging="340" w:start="454"/>
              <w:rPr>
                <w:rFonts w:ascii="Times New Roman" w:hAnsi="Times New Roman"/>
              </w:rPr>
            </w:pPr>
            <w:r>
              <w:rPr>
                <w:rFonts w:eastAsia="Times New Roman" w:cs="Times New Roman" w:ascii="Times New Roman" w:hAnsi="Times New Roman"/>
                <w:color w:themeColor="text1" w:val="000000"/>
                <w:sz w:val="20"/>
                <w:szCs w:val="20"/>
              </w:rPr>
              <w:t>EXPL</w:t>
            </w:r>
          </w:p>
        </w:tc>
        <w:tc>
          <w:tcPr>
            <w:tcW w:w="694" w:type="dxa"/>
            <w:tcBorders/>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.56</w:t>
            </w:r>
            <w:r>
              <w:rPr>
                <w:rFonts w:eastAsia="Times New Roman" w:cs="Times New Roman" w:ascii="Times New Roman" w:hAnsi="Times New Roman"/>
                <w:color w:themeColor="text1" w:val="000000"/>
                <w:sz w:val="20"/>
                <w:szCs w:val="20"/>
                <w:vertAlign w:val="superscript"/>
              </w:rPr>
              <w:t>***</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-.07</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-.36</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-.21</w:t>
            </w:r>
            <w:r>
              <w:rPr>
                <w:rFonts w:eastAsia="Times New Roman" w:cs="Times New Roman" w:ascii="Times New Roman" w:hAnsi="Times New Roman"/>
                <w:color w:themeColor="text1" w:val="000000"/>
                <w:sz w:val="20"/>
                <w:szCs w:val="20"/>
                <w:vertAlign w:val="superscript"/>
              </w:rPr>
              <w:t>***</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.06</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-.22</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.75</w:t>
            </w:r>
            <w:r>
              <w:rPr>
                <w:rFonts w:eastAsia="Times New Roman" w:cs="Times New Roman" w:ascii="Times New Roman" w:hAnsi="Times New Roman"/>
                <w:color w:themeColor="text1" w:val="000000"/>
                <w:sz w:val="20"/>
                <w:szCs w:val="20"/>
                <w:vertAlign w:val="superscript"/>
              </w:rPr>
              <w:t>***</w:t>
            </w:r>
          </w:p>
        </w:tc>
        <w:tc>
          <w:tcPr>
            <w:tcW w:w="696"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.62</w:t>
            </w:r>
            <w:r>
              <w:rPr>
                <w:rFonts w:eastAsia="Times New Roman" w:cs="Times New Roman" w:ascii="Times New Roman" w:hAnsi="Times New Roman"/>
                <w:color w:themeColor="text1" w:val="000000"/>
                <w:sz w:val="20"/>
                <w:szCs w:val="20"/>
                <w:vertAlign w:val="superscript"/>
              </w:rPr>
              <w:t>***</w:t>
            </w:r>
          </w:p>
        </w:tc>
        <w:tc>
          <w:tcPr>
            <w:tcW w:w="686"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.74</w:t>
            </w:r>
            <w:r>
              <w:rPr>
                <w:rFonts w:eastAsia="Times New Roman" w:cs="Times New Roman" w:ascii="Times New Roman" w:hAnsi="Times New Roman"/>
                <w:color w:themeColor="text1" w:val="000000"/>
                <w:sz w:val="20"/>
                <w:szCs w:val="20"/>
                <w:vertAlign w:val="superscript"/>
              </w:rPr>
              <w:t>***</w:t>
            </w:r>
          </w:p>
        </w:tc>
        <w:tc>
          <w:tcPr>
            <w:tcW w:w="693"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70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7"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r>
      <w:tr>
        <w:trPr/>
        <w:tc>
          <w:tcPr>
            <w:tcW w:w="1309" w:type="dxa"/>
            <w:tcBorders/>
            <w:vAlign w:val="center"/>
          </w:tcPr>
          <w:p>
            <w:pPr>
              <w:pStyle w:val="Normal"/>
              <w:numPr>
                <w:ilvl w:val="0"/>
                <w:numId w:val="1"/>
              </w:numPr>
              <w:tabs>
                <w:tab w:val="clear" w:pos="709"/>
                <w:tab w:val="left" w:pos="736" w:leader="none"/>
              </w:tabs>
              <w:spacing w:lineRule="auto" w:line="360"/>
              <w:ind w:hanging="340" w:start="454"/>
              <w:rPr>
                <w:rFonts w:ascii="Times New Roman" w:hAnsi="Times New Roman"/>
              </w:rPr>
            </w:pPr>
            <w:r>
              <w:rPr>
                <w:rFonts w:eastAsia="Times New Roman" w:cs="Times New Roman" w:ascii="Times New Roman" w:hAnsi="Times New Roman"/>
                <w:color w:themeColor="text1" w:val="000000"/>
                <w:sz w:val="20"/>
                <w:szCs w:val="20"/>
              </w:rPr>
              <w:t>PRS</w:t>
            </w:r>
          </w:p>
        </w:tc>
        <w:tc>
          <w:tcPr>
            <w:tcW w:w="694" w:type="dxa"/>
            <w:tcBorders/>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-.28</w:t>
            </w:r>
            <w:r>
              <w:rPr>
                <w:rFonts w:eastAsia="Times New Roman" w:cs="Times New Roman" w:ascii="Times New Roman" w:hAnsi="Times New Roman"/>
                <w:color w:themeColor="text1" w:val="000000"/>
                <w:sz w:val="20"/>
                <w:szCs w:val="20"/>
                <w:vertAlign w:val="superscript"/>
              </w:rPr>
              <w:t>***</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.28</w:t>
            </w:r>
            <w:r>
              <w:rPr>
                <w:rFonts w:eastAsia="Times New Roman" w:cs="Times New Roman" w:ascii="Times New Roman" w:hAnsi="Times New Roman"/>
                <w:color w:themeColor="text1" w:val="000000"/>
                <w:sz w:val="20"/>
                <w:szCs w:val="20"/>
                <w:vertAlign w:val="superscript"/>
              </w:rPr>
              <w:t>***</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.43</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.14</w:t>
            </w:r>
            <w:r>
              <w:rPr>
                <w:rFonts w:eastAsia="Times New Roman" w:cs="Times New Roman" w:ascii="Times New Roman" w:hAnsi="Times New Roman"/>
                <w:color w:themeColor="text1" w:val="000000"/>
                <w:sz w:val="20"/>
                <w:szCs w:val="20"/>
                <w:vertAlign w:val="superscript"/>
              </w:rPr>
              <w:t>*</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-.09</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.32</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-.14</w:t>
            </w:r>
            <w:r>
              <w:rPr>
                <w:rFonts w:eastAsia="Times New Roman" w:cs="Times New Roman" w:ascii="Times New Roman" w:hAnsi="Times New Roman"/>
                <w:color w:themeColor="text1" w:val="000000"/>
                <w:sz w:val="20"/>
                <w:szCs w:val="20"/>
                <w:vertAlign w:val="superscript"/>
              </w:rPr>
              <w:t>*</w:t>
            </w:r>
          </w:p>
        </w:tc>
        <w:tc>
          <w:tcPr>
            <w:tcW w:w="696"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-.04</w:t>
            </w:r>
          </w:p>
        </w:tc>
        <w:tc>
          <w:tcPr>
            <w:tcW w:w="686"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-.29</w:t>
            </w:r>
            <w:r>
              <w:rPr>
                <w:rFonts w:eastAsia="Times New Roman" w:cs="Times New Roman" w:ascii="Times New Roman" w:hAnsi="Times New Roman"/>
                <w:color w:themeColor="text1" w:val="000000"/>
                <w:sz w:val="20"/>
                <w:szCs w:val="20"/>
                <w:vertAlign w:val="superscript"/>
              </w:rPr>
              <w:t>***</w:t>
            </w:r>
          </w:p>
        </w:tc>
        <w:tc>
          <w:tcPr>
            <w:tcW w:w="693"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-.17</w:t>
            </w:r>
            <w:r>
              <w:rPr>
                <w:rFonts w:eastAsia="Times New Roman" w:cs="Times New Roman" w:ascii="Times New Roman" w:hAnsi="Times New Roman"/>
                <w:color w:themeColor="text1" w:val="000000"/>
                <w:sz w:val="20"/>
                <w:szCs w:val="20"/>
                <w:vertAlign w:val="superscript"/>
              </w:rPr>
              <w:t>**</w:t>
            </w:r>
          </w:p>
        </w:tc>
        <w:tc>
          <w:tcPr>
            <w:tcW w:w="706"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c>
          <w:tcPr>
            <w:tcW w:w="687"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r>
      <w:tr>
        <w:trPr/>
        <w:tc>
          <w:tcPr>
            <w:tcW w:w="1309" w:type="dxa"/>
            <w:tcBorders/>
            <w:vAlign w:val="center"/>
          </w:tcPr>
          <w:p>
            <w:pPr>
              <w:pStyle w:val="Normal"/>
              <w:numPr>
                <w:ilvl w:val="0"/>
                <w:numId w:val="1"/>
              </w:numPr>
              <w:tabs>
                <w:tab w:val="clear" w:pos="709"/>
                <w:tab w:val="left" w:pos="736" w:leader="none"/>
              </w:tabs>
              <w:spacing w:lineRule="auto" w:line="360"/>
              <w:ind w:hanging="340" w:start="454"/>
              <w:rPr>
                <w:rFonts w:ascii="Times New Roman" w:hAnsi="Times New Roman"/>
              </w:rPr>
            </w:pPr>
            <w:r>
              <w:rPr>
                <w:rFonts w:eastAsia="Times New Roman" w:cs="Times New Roman" w:ascii="Times New Roman" w:hAnsi="Times New Roman"/>
                <w:color w:themeColor="text1" w:val="000000"/>
                <w:sz w:val="20"/>
                <w:szCs w:val="20"/>
              </w:rPr>
              <w:t>NRS</w:t>
            </w:r>
          </w:p>
        </w:tc>
        <w:tc>
          <w:tcPr>
            <w:tcW w:w="694" w:type="dxa"/>
            <w:tcBorders/>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.39</w:t>
            </w:r>
            <w:r>
              <w:rPr>
                <w:rFonts w:eastAsia="Times New Roman" w:cs="Times New Roman" w:ascii="Times New Roman" w:hAnsi="Times New Roman"/>
                <w:color w:themeColor="text1" w:val="000000"/>
                <w:sz w:val="20"/>
                <w:szCs w:val="20"/>
                <w:vertAlign w:val="superscript"/>
              </w:rPr>
              <w:t>***</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-.02</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-.29</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-.05</w:t>
            </w:r>
          </w:p>
        </w:tc>
        <w:tc>
          <w:tcPr>
            <w:tcW w:w="692"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.13</w:t>
            </w:r>
            <w:r>
              <w:rPr>
                <w:rFonts w:eastAsia="Times New Roman" w:cs="Times New Roman" w:ascii="Times New Roman" w:hAnsi="Times New Roman"/>
                <w:color w:themeColor="text1" w:val="000000"/>
                <w:sz w:val="20"/>
                <w:szCs w:val="20"/>
                <w:vertAlign w:val="superscript"/>
              </w:rPr>
              <w:t>*</w:t>
            </w:r>
          </w:p>
        </w:tc>
        <w:tc>
          <w:tcPr>
            <w:tcW w:w="689"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-.12</w:t>
            </w:r>
            <w:r>
              <w:rPr>
                <w:rFonts w:eastAsia="Times New Roman" w:cs="Times New Roman" w:ascii="Times New Roman" w:hAnsi="Times New Roman"/>
                <w:color w:themeColor="text1" w:val="000000"/>
                <w:sz w:val="20"/>
                <w:szCs w:val="20"/>
                <w:vertAlign w:val="superscript"/>
              </w:rPr>
              <w:t>*</w:t>
            </w:r>
          </w:p>
        </w:tc>
        <w:tc>
          <w:tcPr>
            <w:tcW w:w="701"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.36</w:t>
            </w:r>
            <w:r>
              <w:rPr>
                <w:rFonts w:eastAsia="Times New Roman" w:cs="Times New Roman" w:ascii="Times New Roman" w:hAnsi="Times New Roman"/>
                <w:color w:themeColor="text1" w:val="000000"/>
                <w:sz w:val="20"/>
                <w:szCs w:val="20"/>
                <w:vertAlign w:val="superscript"/>
              </w:rPr>
              <w:t>***</w:t>
            </w:r>
          </w:p>
        </w:tc>
        <w:tc>
          <w:tcPr>
            <w:tcW w:w="696"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.32</w:t>
            </w:r>
            <w:r>
              <w:rPr>
                <w:rFonts w:eastAsia="Times New Roman" w:cs="Times New Roman" w:ascii="Times New Roman" w:hAnsi="Times New Roman"/>
                <w:color w:themeColor="text1" w:val="000000"/>
                <w:sz w:val="20"/>
                <w:szCs w:val="20"/>
                <w:vertAlign w:val="superscript"/>
              </w:rPr>
              <w:t>***</w:t>
            </w:r>
          </w:p>
        </w:tc>
        <w:tc>
          <w:tcPr>
            <w:tcW w:w="686"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.34</w:t>
            </w:r>
            <w:r>
              <w:rPr>
                <w:rFonts w:eastAsia="Times New Roman" w:cs="Times New Roman" w:ascii="Times New Roman" w:hAnsi="Times New Roman"/>
                <w:color w:themeColor="text1" w:val="000000"/>
                <w:sz w:val="20"/>
                <w:szCs w:val="20"/>
                <w:vertAlign w:val="superscript"/>
              </w:rPr>
              <w:t>***</w:t>
            </w:r>
          </w:p>
        </w:tc>
        <w:tc>
          <w:tcPr>
            <w:tcW w:w="693"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.42</w:t>
            </w:r>
            <w:r>
              <w:rPr>
                <w:rFonts w:eastAsia="Times New Roman" w:cs="Times New Roman" w:ascii="Times New Roman" w:hAnsi="Times New Roman"/>
                <w:color w:themeColor="text1" w:val="000000"/>
                <w:sz w:val="20"/>
                <w:szCs w:val="20"/>
                <w:vertAlign w:val="superscript"/>
              </w:rPr>
              <w:t>***</w:t>
            </w:r>
          </w:p>
        </w:tc>
        <w:tc>
          <w:tcPr>
            <w:tcW w:w="706" w:type="dxa"/>
            <w:tcBorders/>
            <w:vAlign w:val="center"/>
          </w:tcPr>
          <w:p>
            <w:pPr>
              <w:pStyle w:val="Normal"/>
              <w:numPr>
                <w:ilvl w:val="0"/>
                <w:numId w:val="1"/>
              </w:numPr>
              <w:spacing w:lineRule="auto" w:line="360"/>
              <w:jc w:val="center"/>
              <w:rPr>
                <w:rFonts w:ascii="Times New Roman" w:hAnsi="Times New Roman"/>
              </w:rPr>
            </w:pPr>
            <w:r>
              <w:rPr>
                <w:rFonts w:eastAsia="Times New Roman" w:cs="Times New Roman" w:ascii="Times New Roman" w:hAnsi="Times New Roman"/>
                <w:color w:themeColor="text1" w:val="000000"/>
                <w:sz w:val="20"/>
                <w:szCs w:val="20"/>
              </w:rPr>
              <w:t>.09</w:t>
            </w:r>
          </w:p>
        </w:tc>
        <w:tc>
          <w:tcPr>
            <w:tcW w:w="687" w:type="dxa"/>
            <w:tcBorders/>
            <w:vAlign w:val="center"/>
          </w:tcPr>
          <w:p>
            <w:pPr>
              <w:pStyle w:val="Normal"/>
              <w:numPr>
                <w:ilvl w:val="0"/>
                <w:numId w:val="1"/>
              </w:numPr>
              <w:spacing w:lineRule="auto" w:line="360"/>
              <w:jc w:val="center"/>
              <w:rPr>
                <w:rFonts w:ascii="Times New Roman" w:hAnsi="Times New Roman"/>
                <w:sz w:val="20"/>
                <w:szCs w:val="20"/>
              </w:rPr>
            </w:pPr>
            <w:r>
              <w:rPr>
                <w:rFonts w:ascii="Times New Roman" w:hAnsi="Times New Roman"/>
                <w:sz w:val="20"/>
                <w:szCs w:val="20"/>
              </w:rPr>
            </w:r>
          </w:p>
        </w:tc>
      </w:tr>
      <w:tr>
        <w:trPr/>
        <w:tc>
          <w:tcPr>
            <w:tcW w:w="1309" w:type="dxa"/>
            <w:tcBorders>
              <w:top w:val="single" w:sz="4" w:space="0" w:color="000000"/>
            </w:tcBorders>
            <w:vAlign w:val="center"/>
          </w:tcPr>
          <w:p>
            <w:pPr>
              <w:pStyle w:val="Normal"/>
              <w:numPr>
                <w:ilvl w:val="0"/>
                <w:numId w:val="1"/>
              </w:numPr>
              <w:spacing w:lineRule="auto" w:line="360"/>
              <w:jc w:val="end"/>
              <w:rPr>
                <w:rFonts w:ascii="Times New Roman" w:hAnsi="Times New Roman"/>
              </w:rPr>
            </w:pPr>
            <w:r>
              <w:rPr>
                <w:rFonts w:ascii="Times New Roman" w:hAnsi="Times New Roman"/>
                <w:sz w:val="20"/>
                <w:szCs w:val="20"/>
              </w:rPr>
              <w:t xml:space="preserve"> </w:t>
            </w:r>
            <w:r>
              <w:rPr>
                <w:rFonts w:ascii="Times New Roman" w:hAnsi="Times New Roman"/>
                <w:sz w:val="20"/>
                <w:szCs w:val="20"/>
              </w:rPr>
              <w:t>Cronbach’s α</w:t>
            </w:r>
          </w:p>
        </w:tc>
        <w:tc>
          <w:tcPr>
            <w:tcW w:w="694" w:type="dxa"/>
            <w:tcBorders>
              <w:top w:val="single" w:sz="4" w:space="0" w:color="000000"/>
            </w:tcBorders>
          </w:tcPr>
          <w:p>
            <w:pPr>
              <w:pStyle w:val="Normal"/>
              <w:numPr>
                <w:ilvl w:val="0"/>
                <w:numId w:val="1"/>
              </w:numPr>
              <w:spacing w:lineRule="auto" w:line="360"/>
              <w:jc w:val="center"/>
              <w:rPr>
                <w:rFonts w:ascii="Times New Roman" w:hAnsi="Times New Roman"/>
              </w:rPr>
            </w:pPr>
            <w:r>
              <w:rPr>
                <w:rFonts w:ascii="Times New Roman" w:hAnsi="Times New Roman"/>
                <w:sz w:val="20"/>
                <w:szCs w:val="20"/>
              </w:rPr>
              <w:t>.84</w:t>
            </w:r>
          </w:p>
        </w:tc>
        <w:tc>
          <w:tcPr>
            <w:tcW w:w="689" w:type="dxa"/>
            <w:tcBorders>
              <w:top w:val="single" w:sz="4" w:space="0" w:color="000000"/>
            </w:tcBorders>
          </w:tcPr>
          <w:p>
            <w:pPr>
              <w:pStyle w:val="Normal"/>
              <w:numPr>
                <w:ilvl w:val="0"/>
                <w:numId w:val="1"/>
              </w:numPr>
              <w:spacing w:lineRule="auto" w:line="360"/>
              <w:jc w:val="center"/>
              <w:rPr>
                <w:rFonts w:ascii="Times New Roman" w:hAnsi="Times New Roman"/>
              </w:rPr>
            </w:pPr>
            <w:r>
              <w:rPr>
                <w:rFonts w:ascii="Times New Roman" w:hAnsi="Times New Roman"/>
                <w:sz w:val="20"/>
                <w:szCs w:val="20"/>
              </w:rPr>
              <w:t>.83</w:t>
            </w:r>
          </w:p>
        </w:tc>
        <w:tc>
          <w:tcPr>
            <w:tcW w:w="692" w:type="dxa"/>
            <w:tcBorders>
              <w:top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.68</w:t>
            </w:r>
          </w:p>
        </w:tc>
        <w:tc>
          <w:tcPr>
            <w:tcW w:w="701" w:type="dxa"/>
            <w:tcBorders>
              <w:top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.70</w:t>
            </w:r>
          </w:p>
        </w:tc>
        <w:tc>
          <w:tcPr>
            <w:tcW w:w="692" w:type="dxa"/>
            <w:tcBorders>
              <w:top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.75</w:t>
            </w:r>
          </w:p>
        </w:tc>
        <w:tc>
          <w:tcPr>
            <w:tcW w:w="689" w:type="dxa"/>
            <w:tcBorders>
              <w:top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.67</w:t>
            </w:r>
          </w:p>
        </w:tc>
        <w:tc>
          <w:tcPr>
            <w:tcW w:w="701" w:type="dxa"/>
            <w:tcBorders>
              <w:top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.90</w:t>
            </w:r>
          </w:p>
        </w:tc>
        <w:tc>
          <w:tcPr>
            <w:tcW w:w="696" w:type="dxa"/>
            <w:tcBorders>
              <w:top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.90</w:t>
            </w:r>
          </w:p>
        </w:tc>
        <w:tc>
          <w:tcPr>
            <w:tcW w:w="686" w:type="dxa"/>
            <w:tcBorders>
              <w:top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.82</w:t>
            </w:r>
          </w:p>
        </w:tc>
        <w:tc>
          <w:tcPr>
            <w:tcW w:w="693" w:type="dxa"/>
            <w:tcBorders>
              <w:top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.85</w:t>
            </w:r>
          </w:p>
        </w:tc>
        <w:tc>
          <w:tcPr>
            <w:tcW w:w="706" w:type="dxa"/>
            <w:tcBorders>
              <w:top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.87</w:t>
            </w:r>
          </w:p>
        </w:tc>
        <w:tc>
          <w:tcPr>
            <w:tcW w:w="687" w:type="dxa"/>
            <w:tcBorders>
              <w:top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.86</w:t>
            </w:r>
          </w:p>
        </w:tc>
      </w:tr>
      <w:tr>
        <w:trPr/>
        <w:tc>
          <w:tcPr>
            <w:tcW w:w="1309" w:type="dxa"/>
            <w:tcBorders/>
            <w:vAlign w:val="center"/>
          </w:tcPr>
          <w:p>
            <w:pPr>
              <w:pStyle w:val="Normal"/>
              <w:numPr>
                <w:ilvl w:val="0"/>
                <w:numId w:val="1"/>
              </w:numPr>
              <w:spacing w:lineRule="auto" w:line="360"/>
              <w:jc w:val="end"/>
              <w:rPr>
                <w:rFonts w:ascii="Times New Roman" w:hAnsi="Times New Roman"/>
              </w:rPr>
            </w:pPr>
            <w:r>
              <w:rPr>
                <w:rFonts w:ascii="Times New Roman" w:hAnsi="Times New Roman"/>
                <w:sz w:val="20"/>
                <w:szCs w:val="20"/>
              </w:rPr>
              <w:t>McDonald’s ω</w:t>
            </w:r>
          </w:p>
        </w:tc>
        <w:tc>
          <w:tcPr>
            <w:tcW w:w="694" w:type="dxa"/>
            <w:tcBorders/>
          </w:tcPr>
          <w:p>
            <w:pPr>
              <w:pStyle w:val="Normal"/>
              <w:numPr>
                <w:ilvl w:val="0"/>
                <w:numId w:val="1"/>
              </w:numPr>
              <w:spacing w:lineRule="auto" w:line="360"/>
              <w:jc w:val="center"/>
              <w:rPr>
                <w:rFonts w:ascii="Times New Roman" w:hAnsi="Times New Roman"/>
              </w:rPr>
            </w:pPr>
            <w:r>
              <w:rPr>
                <w:rFonts w:ascii="Times New Roman" w:hAnsi="Times New Roman"/>
                <w:sz w:val="20"/>
                <w:szCs w:val="20"/>
              </w:rPr>
              <w:t>.85</w:t>
            </w:r>
          </w:p>
        </w:tc>
        <w:tc>
          <w:tcPr>
            <w:tcW w:w="689" w:type="dxa"/>
            <w:tcBorders/>
          </w:tcPr>
          <w:p>
            <w:pPr>
              <w:pStyle w:val="Normal"/>
              <w:numPr>
                <w:ilvl w:val="0"/>
                <w:numId w:val="1"/>
              </w:numPr>
              <w:spacing w:lineRule="auto" w:line="360"/>
              <w:jc w:val="center"/>
              <w:rPr>
                <w:rFonts w:ascii="Times New Roman" w:hAnsi="Times New Roman"/>
              </w:rPr>
            </w:pPr>
            <w:r>
              <w:rPr>
                <w:rFonts w:ascii="Times New Roman" w:hAnsi="Times New Roman"/>
                <w:sz w:val="20"/>
                <w:szCs w:val="20"/>
              </w:rPr>
              <w:t>.83</w:t>
            </w:r>
          </w:p>
        </w:tc>
        <w:tc>
          <w:tcPr>
            <w:tcW w:w="692"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.69</w:t>
            </w:r>
          </w:p>
        </w:tc>
        <w:tc>
          <w:tcPr>
            <w:tcW w:w="701"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.73</w:t>
            </w:r>
          </w:p>
        </w:tc>
        <w:tc>
          <w:tcPr>
            <w:tcW w:w="692"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.76</w:t>
            </w:r>
          </w:p>
        </w:tc>
        <w:tc>
          <w:tcPr>
            <w:tcW w:w="689"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.68</w:t>
            </w:r>
          </w:p>
        </w:tc>
        <w:tc>
          <w:tcPr>
            <w:tcW w:w="701"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.90</w:t>
            </w:r>
          </w:p>
        </w:tc>
        <w:tc>
          <w:tcPr>
            <w:tcW w:w="696"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.90</w:t>
            </w:r>
          </w:p>
        </w:tc>
        <w:tc>
          <w:tcPr>
            <w:tcW w:w="686"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.82</w:t>
            </w:r>
          </w:p>
        </w:tc>
        <w:tc>
          <w:tcPr>
            <w:tcW w:w="693"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.88</w:t>
            </w:r>
          </w:p>
        </w:tc>
        <w:tc>
          <w:tcPr>
            <w:tcW w:w="706"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.89</w:t>
            </w:r>
          </w:p>
        </w:tc>
        <w:tc>
          <w:tcPr>
            <w:tcW w:w="687"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.86</w:t>
            </w:r>
          </w:p>
        </w:tc>
      </w:tr>
      <w:tr>
        <w:trPr/>
        <w:tc>
          <w:tcPr>
            <w:tcW w:w="1309" w:type="dxa"/>
            <w:tcBorders/>
            <w:vAlign w:val="center"/>
          </w:tcPr>
          <w:p>
            <w:pPr>
              <w:pStyle w:val="Normal"/>
              <w:numPr>
                <w:ilvl w:val="0"/>
                <w:numId w:val="1"/>
              </w:numPr>
              <w:spacing w:lineRule="auto" w:line="360"/>
              <w:jc w:val="end"/>
              <w:rPr>
                <w:rFonts w:ascii="Times New Roman" w:hAnsi="Times New Roman"/>
              </w:rPr>
            </w:pPr>
            <w:r>
              <w:rPr>
                <w:rFonts w:ascii="Times New Roman" w:hAnsi="Times New Roman"/>
                <w:sz w:val="20"/>
                <w:szCs w:val="20"/>
              </w:rPr>
              <w:t>Skeweness</w:t>
            </w:r>
          </w:p>
        </w:tc>
        <w:tc>
          <w:tcPr>
            <w:tcW w:w="694" w:type="dxa"/>
            <w:tcBorders/>
          </w:tcPr>
          <w:p>
            <w:pPr>
              <w:pStyle w:val="Normal"/>
              <w:numPr>
                <w:ilvl w:val="0"/>
                <w:numId w:val="1"/>
              </w:numPr>
              <w:spacing w:lineRule="auto" w:line="360"/>
              <w:jc w:val="center"/>
              <w:rPr>
                <w:rFonts w:ascii="Times New Roman" w:hAnsi="Times New Roman"/>
              </w:rPr>
            </w:pPr>
            <w:r>
              <w:rPr>
                <w:rFonts w:ascii="Times New Roman" w:hAnsi="Times New Roman"/>
                <w:sz w:val="20"/>
                <w:szCs w:val="20"/>
              </w:rPr>
              <w:t>0.13</w:t>
            </w:r>
          </w:p>
        </w:tc>
        <w:tc>
          <w:tcPr>
            <w:tcW w:w="689"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-0.18</w:t>
            </w:r>
          </w:p>
        </w:tc>
        <w:tc>
          <w:tcPr>
            <w:tcW w:w="692"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-0.08</w:t>
            </w:r>
          </w:p>
        </w:tc>
        <w:tc>
          <w:tcPr>
            <w:tcW w:w="701"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-.025</w:t>
            </w:r>
          </w:p>
        </w:tc>
        <w:tc>
          <w:tcPr>
            <w:tcW w:w="692"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0.26</w:t>
            </w:r>
          </w:p>
        </w:tc>
        <w:tc>
          <w:tcPr>
            <w:tcW w:w="689"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-0.27</w:t>
            </w:r>
          </w:p>
        </w:tc>
        <w:tc>
          <w:tcPr>
            <w:tcW w:w="701"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1.17</w:t>
            </w:r>
          </w:p>
        </w:tc>
        <w:tc>
          <w:tcPr>
            <w:tcW w:w="696"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0.67</w:t>
            </w:r>
          </w:p>
        </w:tc>
        <w:tc>
          <w:tcPr>
            <w:tcW w:w="686"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0.87</w:t>
            </w:r>
          </w:p>
        </w:tc>
        <w:tc>
          <w:tcPr>
            <w:tcW w:w="693"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1.12</w:t>
            </w:r>
          </w:p>
        </w:tc>
        <w:tc>
          <w:tcPr>
            <w:tcW w:w="706"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-0.12</w:t>
            </w:r>
          </w:p>
        </w:tc>
        <w:tc>
          <w:tcPr>
            <w:tcW w:w="687"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-0.05</w:t>
            </w:r>
          </w:p>
        </w:tc>
      </w:tr>
      <w:tr>
        <w:trPr/>
        <w:tc>
          <w:tcPr>
            <w:tcW w:w="1309" w:type="dxa"/>
            <w:tcBorders>
              <w:bottom w:val="single" w:sz="4" w:space="0" w:color="000000"/>
            </w:tcBorders>
            <w:vAlign w:val="center"/>
          </w:tcPr>
          <w:p>
            <w:pPr>
              <w:pStyle w:val="Normal"/>
              <w:numPr>
                <w:ilvl w:val="0"/>
                <w:numId w:val="1"/>
              </w:numPr>
              <w:spacing w:lineRule="auto" w:line="360"/>
              <w:jc w:val="end"/>
              <w:rPr>
                <w:rFonts w:ascii="Times New Roman" w:hAnsi="Times New Roman"/>
              </w:rPr>
            </w:pPr>
            <w:r>
              <w:rPr>
                <w:rFonts w:ascii="Times New Roman" w:hAnsi="Times New Roman"/>
                <w:sz w:val="20"/>
                <w:szCs w:val="20"/>
              </w:rPr>
              <w:t>Kurtosis</w:t>
            </w:r>
          </w:p>
        </w:tc>
        <w:tc>
          <w:tcPr>
            <w:tcW w:w="694" w:type="dxa"/>
            <w:tcBorders>
              <w:bottom w:val="single" w:sz="4" w:space="0" w:color="000000"/>
            </w:tcBorders>
          </w:tcPr>
          <w:p>
            <w:pPr>
              <w:pStyle w:val="Normal"/>
              <w:numPr>
                <w:ilvl w:val="0"/>
                <w:numId w:val="1"/>
              </w:numPr>
              <w:spacing w:lineRule="auto" w:line="360"/>
              <w:jc w:val="center"/>
              <w:rPr>
                <w:rFonts w:ascii="Times New Roman" w:hAnsi="Times New Roman"/>
              </w:rPr>
            </w:pPr>
            <w:r>
              <w:rPr>
                <w:rFonts w:ascii="Times New Roman" w:hAnsi="Times New Roman"/>
                <w:sz w:val="20"/>
                <w:szCs w:val="20"/>
              </w:rPr>
              <w:t>-0.87</w:t>
            </w:r>
          </w:p>
        </w:tc>
        <w:tc>
          <w:tcPr>
            <w:tcW w:w="689"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-0.14</w:t>
            </w:r>
          </w:p>
        </w:tc>
        <w:tc>
          <w:tcPr>
            <w:tcW w:w="692"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-0.21</w:t>
            </w:r>
          </w:p>
        </w:tc>
        <w:tc>
          <w:tcPr>
            <w:tcW w:w="701"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-0.44</w:t>
            </w:r>
          </w:p>
        </w:tc>
        <w:tc>
          <w:tcPr>
            <w:tcW w:w="692"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0.33</w:t>
            </w:r>
          </w:p>
        </w:tc>
        <w:tc>
          <w:tcPr>
            <w:tcW w:w="689"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0.19</w:t>
            </w:r>
          </w:p>
        </w:tc>
        <w:tc>
          <w:tcPr>
            <w:tcW w:w="701"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0.53</w:t>
            </w:r>
          </w:p>
        </w:tc>
        <w:tc>
          <w:tcPr>
            <w:tcW w:w="696"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-0.51</w:t>
            </w:r>
          </w:p>
        </w:tc>
        <w:tc>
          <w:tcPr>
            <w:tcW w:w="686"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-0.10</w:t>
            </w:r>
          </w:p>
        </w:tc>
        <w:tc>
          <w:tcPr>
            <w:tcW w:w="693"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0.83</w:t>
            </w:r>
          </w:p>
        </w:tc>
        <w:tc>
          <w:tcPr>
            <w:tcW w:w="706"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0.78</w:t>
            </w:r>
          </w:p>
        </w:tc>
        <w:tc>
          <w:tcPr>
            <w:tcW w:w="687"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0.72</w:t>
            </w:r>
          </w:p>
        </w:tc>
      </w:tr>
      <w:tr>
        <w:trPr/>
        <w:tc>
          <w:tcPr>
            <w:tcW w:w="1309" w:type="dxa"/>
            <w:tcBorders>
              <w:top w:val="single" w:sz="4" w:space="0" w:color="000000"/>
            </w:tcBorders>
            <w:vAlign w:val="center"/>
          </w:tcPr>
          <w:p>
            <w:pPr>
              <w:pStyle w:val="Normal"/>
              <w:numPr>
                <w:ilvl w:val="0"/>
                <w:numId w:val="1"/>
              </w:numPr>
              <w:spacing w:lineRule="auto" w:line="360"/>
              <w:jc w:val="end"/>
              <w:rPr>
                <w:rFonts w:ascii="Times New Roman" w:hAnsi="Times New Roman"/>
              </w:rPr>
            </w:pPr>
            <w:r>
              <w:rPr>
                <w:rFonts w:ascii="Times New Roman" w:hAnsi="Times New Roman"/>
                <w:sz w:val="20"/>
                <w:szCs w:val="20"/>
              </w:rPr>
              <w:t xml:space="preserve"> </w:t>
            </w:r>
            <w:r>
              <w:rPr>
                <w:rFonts w:ascii="Times New Roman" w:hAnsi="Times New Roman"/>
                <w:i/>
                <w:iCs/>
                <w:sz w:val="20"/>
                <w:szCs w:val="20"/>
              </w:rPr>
              <w:t>M</w:t>
            </w:r>
            <w:r>
              <w:rPr>
                <w:rFonts w:ascii="Times New Roman" w:hAnsi="Times New Roman"/>
                <w:sz w:val="20"/>
                <w:szCs w:val="20"/>
              </w:rPr>
              <w:t xml:space="preserve"> (</w:t>
            </w:r>
            <w:r>
              <w:rPr>
                <w:rFonts w:ascii="Times New Roman" w:hAnsi="Times New Roman"/>
                <w:i/>
                <w:iCs/>
                <w:sz w:val="20"/>
                <w:szCs w:val="20"/>
              </w:rPr>
              <w:t>SD</w:t>
            </w:r>
            <w:r>
              <w:rPr>
                <w:rFonts w:ascii="Times New Roman" w:hAnsi="Times New Roman"/>
                <w:sz w:val="20"/>
                <w:szCs w:val="20"/>
              </w:rPr>
              <w:t>)</w:t>
            </w:r>
          </w:p>
        </w:tc>
        <w:tc>
          <w:tcPr>
            <w:tcW w:w="694" w:type="dxa"/>
            <w:tcBorders/>
          </w:tcPr>
          <w:p>
            <w:pPr>
              <w:pStyle w:val="Normal"/>
              <w:numPr>
                <w:ilvl w:val="0"/>
                <w:numId w:val="1"/>
              </w:numPr>
              <w:spacing w:lineRule="auto" w:line="360"/>
              <w:jc w:val="center"/>
              <w:rPr>
                <w:rFonts w:ascii="Times New Roman" w:hAnsi="Times New Roman"/>
              </w:rPr>
            </w:pPr>
            <w:r>
              <w:rPr>
                <w:rFonts w:ascii="Times New Roman" w:hAnsi="Times New Roman"/>
                <w:sz w:val="20"/>
                <w:szCs w:val="20"/>
              </w:rPr>
              <w:t>25.8 (9.01)</w:t>
            </w:r>
          </w:p>
        </w:tc>
        <w:tc>
          <w:tcPr>
            <w:tcW w:w="689"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12.3 (3.43)</w:t>
            </w:r>
          </w:p>
        </w:tc>
        <w:tc>
          <w:tcPr>
            <w:tcW w:w="692"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14.4 (2.63)</w:t>
            </w:r>
          </w:p>
        </w:tc>
        <w:tc>
          <w:tcPr>
            <w:tcW w:w="701"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14.5 (2.98)</w:t>
            </w:r>
          </w:p>
        </w:tc>
        <w:tc>
          <w:tcPr>
            <w:tcW w:w="692"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12.2 (3.07)</w:t>
            </w:r>
          </w:p>
        </w:tc>
        <w:tc>
          <w:tcPr>
            <w:tcW w:w="689"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11.0 (2.02)</w:t>
            </w:r>
          </w:p>
        </w:tc>
        <w:tc>
          <w:tcPr>
            <w:tcW w:w="701"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7.18 (3.69)</w:t>
            </w:r>
          </w:p>
        </w:tc>
        <w:tc>
          <w:tcPr>
            <w:tcW w:w="696"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8.07 (3.86)</w:t>
            </w:r>
          </w:p>
        </w:tc>
        <w:tc>
          <w:tcPr>
            <w:tcW w:w="686"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7.56 (3.42)</w:t>
            </w:r>
          </w:p>
        </w:tc>
        <w:tc>
          <w:tcPr>
            <w:tcW w:w="693"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11.8 (4.83)</w:t>
            </w:r>
          </w:p>
        </w:tc>
        <w:tc>
          <w:tcPr>
            <w:tcW w:w="706"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46.6 (7.14)</w:t>
            </w:r>
          </w:p>
        </w:tc>
        <w:tc>
          <w:tcPr>
            <w:tcW w:w="687"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37.9 8.76)</w:t>
            </w:r>
          </w:p>
        </w:tc>
      </w:tr>
      <w:tr>
        <w:trPr/>
        <w:tc>
          <w:tcPr>
            <w:tcW w:w="1309" w:type="dxa"/>
            <w:tcBorders/>
            <w:vAlign w:val="center"/>
          </w:tcPr>
          <w:p>
            <w:pPr>
              <w:pStyle w:val="Normal"/>
              <w:numPr>
                <w:ilvl w:val="0"/>
                <w:numId w:val="1"/>
              </w:numPr>
              <w:spacing w:lineRule="auto" w:line="360"/>
              <w:jc w:val="end"/>
              <w:rPr>
                <w:rFonts w:ascii="Times New Roman" w:hAnsi="Times New Roman"/>
              </w:rPr>
            </w:pPr>
            <w:r>
              <w:rPr>
                <w:rFonts w:ascii="Times New Roman" w:hAnsi="Times New Roman"/>
                <w:sz w:val="20"/>
                <w:szCs w:val="20"/>
              </w:rPr>
              <w:t xml:space="preserve">Men: </w:t>
            </w:r>
            <w:r>
              <w:rPr>
                <w:rFonts w:ascii="Times New Roman" w:hAnsi="Times New Roman"/>
                <w:i/>
                <w:iCs/>
                <w:sz w:val="20"/>
                <w:szCs w:val="20"/>
              </w:rPr>
              <w:t>M</w:t>
            </w:r>
            <w:r>
              <w:rPr>
                <w:rFonts w:ascii="Times New Roman" w:hAnsi="Times New Roman"/>
                <w:sz w:val="20"/>
                <w:szCs w:val="20"/>
              </w:rPr>
              <w:t xml:space="preserve"> (</w:t>
            </w:r>
            <w:r>
              <w:rPr>
                <w:rFonts w:ascii="Times New Roman" w:hAnsi="Times New Roman"/>
                <w:i/>
                <w:iCs/>
                <w:sz w:val="20"/>
                <w:szCs w:val="20"/>
              </w:rPr>
              <w:t>SD</w:t>
            </w:r>
            <w:r>
              <w:rPr>
                <w:rFonts w:ascii="Times New Roman" w:hAnsi="Times New Roman"/>
                <w:sz w:val="20"/>
                <w:szCs w:val="20"/>
              </w:rPr>
              <w:t>)</w:t>
            </w:r>
          </w:p>
        </w:tc>
        <w:tc>
          <w:tcPr>
            <w:tcW w:w="694" w:type="dxa"/>
            <w:tcBorders/>
          </w:tcPr>
          <w:p>
            <w:pPr>
              <w:pStyle w:val="Normal"/>
              <w:numPr>
                <w:ilvl w:val="0"/>
                <w:numId w:val="1"/>
              </w:numPr>
              <w:spacing w:lineRule="auto" w:line="360"/>
              <w:jc w:val="center"/>
              <w:rPr>
                <w:rFonts w:ascii="Times New Roman" w:hAnsi="Times New Roman"/>
              </w:rPr>
            </w:pPr>
            <w:r>
              <w:rPr>
                <w:rFonts w:ascii="Times New Roman" w:hAnsi="Times New Roman"/>
                <w:sz w:val="20"/>
                <w:szCs w:val="20"/>
              </w:rPr>
              <w:t>26.15 (8.67)</w:t>
            </w:r>
          </w:p>
        </w:tc>
        <w:tc>
          <w:tcPr>
            <w:tcW w:w="689"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12.81 (3.12)</w:t>
            </w:r>
          </w:p>
        </w:tc>
        <w:tc>
          <w:tcPr>
            <w:tcW w:w="692"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14.05 (2.49)</w:t>
            </w:r>
          </w:p>
        </w:tc>
        <w:tc>
          <w:tcPr>
            <w:tcW w:w="701"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14.4 (2.92)</w:t>
            </w:r>
          </w:p>
        </w:tc>
        <w:tc>
          <w:tcPr>
            <w:tcW w:w="692"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13.0 (3.17)</w:t>
            </w:r>
          </w:p>
        </w:tc>
        <w:tc>
          <w:tcPr>
            <w:tcW w:w="689"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11.1 (1.91)</w:t>
            </w:r>
          </w:p>
        </w:tc>
        <w:tc>
          <w:tcPr>
            <w:tcW w:w="701"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7.35 (3.83)</w:t>
            </w:r>
          </w:p>
        </w:tc>
        <w:tc>
          <w:tcPr>
            <w:tcW w:w="696"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8.19 (3.93)</w:t>
            </w:r>
          </w:p>
        </w:tc>
        <w:tc>
          <w:tcPr>
            <w:tcW w:w="686"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7.87 (3.48)</w:t>
            </w:r>
          </w:p>
        </w:tc>
        <w:tc>
          <w:tcPr>
            <w:tcW w:w="693"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12.2 (5.04)</w:t>
            </w:r>
          </w:p>
        </w:tc>
        <w:tc>
          <w:tcPr>
            <w:tcW w:w="706"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46.6 (6.76)</w:t>
            </w:r>
          </w:p>
        </w:tc>
        <w:tc>
          <w:tcPr>
            <w:tcW w:w="687" w:type="dxa"/>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38.8 (7.68)</w:t>
            </w:r>
          </w:p>
        </w:tc>
      </w:tr>
      <w:tr>
        <w:trPr/>
        <w:tc>
          <w:tcPr>
            <w:tcW w:w="1309" w:type="dxa"/>
            <w:tcBorders>
              <w:bottom w:val="single" w:sz="4" w:space="0" w:color="000000"/>
            </w:tcBorders>
            <w:vAlign w:val="center"/>
          </w:tcPr>
          <w:p>
            <w:pPr>
              <w:pStyle w:val="Normal"/>
              <w:numPr>
                <w:ilvl w:val="0"/>
                <w:numId w:val="1"/>
              </w:numPr>
              <w:spacing w:lineRule="auto" w:line="360"/>
              <w:jc w:val="end"/>
              <w:rPr>
                <w:rFonts w:ascii="Times New Roman" w:hAnsi="Times New Roman"/>
              </w:rPr>
            </w:pPr>
            <w:r>
              <w:rPr>
                <w:rFonts w:ascii="Times New Roman" w:hAnsi="Times New Roman"/>
                <w:sz w:val="20"/>
                <w:szCs w:val="20"/>
              </w:rPr>
              <w:t xml:space="preserve">Women: </w:t>
            </w:r>
            <w:r>
              <w:rPr>
                <w:rFonts w:ascii="Times New Roman" w:hAnsi="Times New Roman"/>
                <w:i/>
                <w:iCs/>
                <w:sz w:val="20"/>
                <w:szCs w:val="20"/>
              </w:rPr>
              <w:t>M</w:t>
            </w:r>
            <w:r>
              <w:rPr>
                <w:rFonts w:ascii="Times New Roman" w:hAnsi="Times New Roman"/>
                <w:sz w:val="20"/>
                <w:szCs w:val="20"/>
              </w:rPr>
              <w:t xml:space="preserve"> (</w:t>
            </w:r>
            <w:r>
              <w:rPr>
                <w:rFonts w:ascii="Times New Roman" w:hAnsi="Times New Roman"/>
                <w:i/>
                <w:iCs/>
                <w:sz w:val="20"/>
                <w:szCs w:val="20"/>
              </w:rPr>
              <w:t>SD</w:t>
            </w:r>
            <w:r>
              <w:rPr>
                <w:rFonts w:ascii="Times New Roman" w:hAnsi="Times New Roman"/>
                <w:sz w:val="20"/>
                <w:szCs w:val="20"/>
              </w:rPr>
              <w:t>)</w:t>
            </w:r>
          </w:p>
        </w:tc>
        <w:tc>
          <w:tcPr>
            <w:tcW w:w="694" w:type="dxa"/>
            <w:tcBorders>
              <w:bottom w:val="single" w:sz="4" w:space="0" w:color="000000"/>
            </w:tcBorders>
          </w:tcPr>
          <w:p>
            <w:pPr>
              <w:pStyle w:val="Normal"/>
              <w:numPr>
                <w:ilvl w:val="0"/>
                <w:numId w:val="1"/>
              </w:numPr>
              <w:spacing w:lineRule="auto" w:line="360"/>
              <w:jc w:val="center"/>
              <w:rPr>
                <w:rFonts w:ascii="Times New Roman" w:hAnsi="Times New Roman"/>
              </w:rPr>
            </w:pPr>
            <w:r>
              <w:rPr>
                <w:rFonts w:ascii="Times New Roman" w:hAnsi="Times New Roman"/>
                <w:sz w:val="20"/>
                <w:szCs w:val="20"/>
              </w:rPr>
              <w:t>15.53 (9.37)</w:t>
            </w:r>
          </w:p>
        </w:tc>
        <w:tc>
          <w:tcPr>
            <w:tcW w:w="689"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11.85 (3.67)</w:t>
            </w:r>
          </w:p>
        </w:tc>
        <w:tc>
          <w:tcPr>
            <w:tcW w:w="692"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14.67 (2.75)</w:t>
            </w:r>
          </w:p>
        </w:tc>
        <w:tc>
          <w:tcPr>
            <w:tcW w:w="701"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14.5 (3.06)</w:t>
            </w:r>
          </w:p>
        </w:tc>
        <w:tc>
          <w:tcPr>
            <w:tcW w:w="692"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11.4 (2.74)</w:t>
            </w:r>
          </w:p>
        </w:tc>
        <w:tc>
          <w:tcPr>
            <w:tcW w:w="689"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10.08 (3.13)</w:t>
            </w:r>
          </w:p>
        </w:tc>
        <w:tc>
          <w:tcPr>
            <w:tcW w:w="701"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7.01 (3.53)</w:t>
            </w:r>
          </w:p>
        </w:tc>
        <w:tc>
          <w:tcPr>
            <w:tcW w:w="696"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7.93 (3.80)</w:t>
            </w:r>
          </w:p>
        </w:tc>
        <w:tc>
          <w:tcPr>
            <w:tcW w:w="686"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7.24 (3.34)</w:t>
            </w:r>
          </w:p>
        </w:tc>
        <w:tc>
          <w:tcPr>
            <w:tcW w:w="693"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11.4 (4.57)</w:t>
            </w:r>
          </w:p>
        </w:tc>
        <w:tc>
          <w:tcPr>
            <w:tcW w:w="706"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46.6 (7.53)</w:t>
            </w:r>
          </w:p>
        </w:tc>
        <w:tc>
          <w:tcPr>
            <w:tcW w:w="687" w:type="dxa"/>
            <w:tcBorders>
              <w:bottom w:val="single" w:sz="4" w:space="0" w:color="000000"/>
            </w:tcBorders>
            <w:vAlign w:val="center"/>
          </w:tcPr>
          <w:p>
            <w:pPr>
              <w:pStyle w:val="Normal"/>
              <w:numPr>
                <w:ilvl w:val="0"/>
                <w:numId w:val="1"/>
              </w:numPr>
              <w:spacing w:lineRule="auto" w:line="360"/>
              <w:jc w:val="center"/>
              <w:rPr>
                <w:rFonts w:ascii="Times New Roman" w:hAnsi="Times New Roman"/>
              </w:rPr>
            </w:pPr>
            <w:r>
              <w:rPr>
                <w:rFonts w:ascii="Times New Roman" w:hAnsi="Times New Roman"/>
                <w:sz w:val="20"/>
                <w:szCs w:val="20"/>
              </w:rPr>
              <w:t>37.0 (9.70)</w:t>
            </w:r>
          </w:p>
        </w:tc>
      </w:tr>
      <w:tr>
        <w:trPr>
          <w:trHeight w:val="284" w:hRule="atLeast"/>
        </w:trPr>
        <w:tc>
          <w:tcPr>
            <w:tcW w:w="9635" w:type="dxa"/>
            <w:gridSpan w:val="13"/>
            <w:tcBorders>
              <w:top w:val="single" w:sz="4" w:space="0" w:color="000000"/>
            </w:tcBorders>
            <w:vAlign w:val="center"/>
          </w:tcPr>
          <w:p>
            <w:pPr>
              <w:pStyle w:val="Normal"/>
              <w:numPr>
                <w:ilvl w:val="0"/>
                <w:numId w:val="1"/>
              </w:numPr>
              <w:spacing w:lineRule="auto" w:line="360"/>
              <w:rPr>
                <w:rFonts w:hint="eastAsia"/>
              </w:rPr>
            </w:pPr>
            <w:r>
              <w:rPr>
                <w:rFonts w:ascii="Times New Roman" w:hAnsi="Times New Roman"/>
                <w:i/>
                <w:iCs/>
              </w:rPr>
              <w:t>Note.</w:t>
            </w:r>
            <w:r>
              <w:rPr>
                <w:rFonts w:ascii="Times New Roman" w:hAnsi="Times New Roman"/>
              </w:rPr>
              <w:t xml:space="preserve"> * </w:t>
            </w:r>
            <w:r>
              <w:rPr>
                <w:rFonts w:ascii="Times New Roman" w:hAnsi="Times New Roman"/>
                <w:i/>
                <w:iCs/>
              </w:rPr>
              <w:t>p</w:t>
            </w:r>
            <w:r>
              <w:rPr>
                <w:rFonts w:ascii="Times New Roman" w:hAnsi="Times New Roman"/>
              </w:rPr>
              <w:t xml:space="preserve"> &lt; .05, ** </w:t>
            </w:r>
            <w:r>
              <w:rPr>
                <w:rFonts w:ascii="Times New Roman" w:hAnsi="Times New Roman"/>
                <w:i/>
                <w:iCs/>
              </w:rPr>
              <w:t>p</w:t>
            </w:r>
            <w:r>
              <w:rPr>
                <w:rFonts w:ascii="Times New Roman" w:hAnsi="Times New Roman"/>
              </w:rPr>
              <w:t xml:space="preserve"> &lt; .01, *** </w:t>
            </w:r>
            <w:r>
              <w:rPr>
                <w:rFonts w:ascii="Times New Roman" w:hAnsi="Times New Roman"/>
                <w:i/>
                <w:iCs/>
              </w:rPr>
              <w:t>p</w:t>
            </w:r>
            <w:r>
              <w:rPr>
                <w:rFonts w:ascii="Times New Roman" w:hAnsi="Times New Roman"/>
              </w:rPr>
              <w:t xml:space="preserve"> &lt; .001;</w:t>
            </w:r>
          </w:p>
          <w:p>
            <w:pPr>
              <w:pStyle w:val="Normal"/>
              <w:numPr>
                <w:ilvl w:val="0"/>
                <w:numId w:val="1"/>
              </w:numPr>
              <w:spacing w:lineRule="auto" w:line="360"/>
              <w:rPr>
                <w:rFonts w:hint="eastAsia"/>
                <w:lang w:val="en-US"/>
              </w:rPr>
            </w:pPr>
            <w:r>
              <w:rPr>
                <w:rFonts w:ascii="Times New Roman" w:hAnsi="Times New Roman"/>
                <w:lang w:val="en-US"/>
              </w:rPr>
              <w:t>PO = Partner Objectification; IPIP_E = Extraversion; IPIP_A = Agreeableness; IPIP_C = Conscientiousness; IPIP_ES = Emotional Stability; IPIP_I = Intellect; D12_M = Dirty Dozen Machiavellianism; D12_N = Dirty Dozen Narcissism; D12_P = Dirty Dozen Psychopathy; EXPL = Exploitativeness; PRS = Personal Norms of Positive Reciprocity; NRS = Personal Norms of Negative Reciprocity.</w:t>
            </w:r>
          </w:p>
        </w:tc>
      </w:tr>
    </w:tbl>
    <w:p>
      <w:pPr>
        <w:pStyle w:val="Normal"/>
        <w:numPr>
          <w:ilvl w:val="0"/>
          <w:numId w:val="1"/>
        </w:numPr>
        <w:spacing w:lineRule="auto" w:line="360"/>
        <w:rPr>
          <w:rFonts w:ascii="Times New Roman" w:hAnsi="Times New Roman"/>
          <w:lang w:val="en-US"/>
        </w:rPr>
      </w:pPr>
      <w:r>
        <w:rPr>
          <w:rFonts w:ascii="Times New Roman" w:hAnsi="Times New Roman"/>
          <w:lang w:val="en-US"/>
        </w:rPr>
      </w:r>
    </w:p>
    <w:p>
      <w:pPr>
        <w:pStyle w:val="Heading2"/>
        <w:rPr>
          <w:rStyle w:val="Strong"/>
          <w:rFonts w:ascii="Times New Roman" w:hAnsi="Times New Roman"/>
          <w:b/>
          <w:bCs/>
          <w:color w:val="000000"/>
          <w:sz w:val="24"/>
          <w:szCs w:val="24"/>
          <w:u w:val="single"/>
          <w:lang w:val="en-US"/>
        </w:rPr>
      </w:pPr>
      <w:r>
        <w:rPr>
          <w:rFonts w:ascii="Times New Roman" w:hAnsi="Times New Roman"/>
          <w:b/>
          <w:bCs/>
          <w:color w:val="000000"/>
          <w:sz w:val="24"/>
          <w:szCs w:val="24"/>
          <w:u w:val="single"/>
          <w:lang w:val="en-US"/>
        </w:rPr>
      </w:r>
      <w:r>
        <w:br w:type="page"/>
      </w:r>
    </w:p>
    <w:p>
      <w:pPr>
        <w:pStyle w:val="Heading2"/>
        <w:numPr>
          <w:ilvl w:val="0"/>
          <w:numId w:val="1"/>
        </w:numPr>
        <w:spacing w:lineRule="auto" w:line="480" w:before="0" w:after="0"/>
        <w:rPr>
          <w:rFonts w:hint="eastAsia"/>
          <w:lang w:val="en-US"/>
        </w:rPr>
      </w:pPr>
      <w:bookmarkStart w:id="5" w:name="__RefHeading___Toc2338_3367103188_kopia_"/>
      <w:bookmarkStart w:id="6" w:name="_Toc232183042"/>
      <w:bookmarkEnd w:id="5"/>
      <w:r>
        <w:rPr>
          <w:rStyle w:val="Strong"/>
          <w:rFonts w:ascii="Times New Roman" w:hAnsi="Times New Roman"/>
          <w:b/>
          <w:bCs/>
          <w:color w:val="000000"/>
          <w:sz w:val="24"/>
          <w:szCs w:val="24"/>
          <w:u w:val="single"/>
          <w:lang w:val="en-US"/>
        </w:rPr>
        <w:t>1.2. Psychometric properties of Romantic Partner Objectification Scale – current study</w:t>
      </w:r>
      <w:bookmarkEnd w:id="6"/>
    </w:p>
    <w:p>
      <w:pPr>
        <w:pStyle w:val="Nagwektabeliuser"/>
        <w:spacing w:lineRule="auto" w:line="480"/>
        <w:jc w:val="start"/>
        <w:rPr>
          <w:rFonts w:ascii="Times New Roman" w:hAnsi="Times New Roman"/>
          <w:b w:val="false"/>
          <w:bCs w:val="false"/>
          <w:sz w:val="22"/>
          <w:szCs w:val="22"/>
          <w:lang w:val="en-US"/>
        </w:rPr>
      </w:pPr>
      <w:r>
        <w:rPr>
          <w:rFonts w:ascii="Times New Roman" w:hAnsi="Times New Roman"/>
          <w:b w:val="false"/>
          <w:bCs w:val="false"/>
          <w:sz w:val="22"/>
          <w:szCs w:val="22"/>
          <w:lang w:val="en-US"/>
        </w:rPr>
        <w:tab/>
      </w:r>
      <w:r>
        <w:rPr>
          <w:rFonts w:cs="Times New Roman" w:ascii="Times New Roman" w:hAnsi="Times New Roman"/>
          <w:b w:val="false"/>
          <w:bCs w:val="false"/>
          <w:iCs/>
          <w:color w:val="000000"/>
          <w:lang w:val="en-US"/>
        </w:rPr>
        <w:t xml:space="preserve">The results of </w:t>
      </w:r>
      <w:r>
        <w:rPr>
          <w:rFonts w:ascii="Times New Roman" w:hAnsi="Times New Roman"/>
          <w:b w:val="false"/>
          <w:bCs w:val="false"/>
          <w:lang w:val="en-US"/>
        </w:rPr>
        <w:t xml:space="preserve">the current study confirmed the scale’s high internal consistency </w:t>
      </w:r>
    </w:p>
    <w:p>
      <w:pPr>
        <w:pStyle w:val="Nagwektabeliuser"/>
        <w:numPr>
          <w:ilvl w:val="0"/>
          <w:numId w:val="1"/>
        </w:numPr>
        <w:spacing w:lineRule="auto" w:line="480"/>
        <w:jc w:val="start"/>
        <w:rPr>
          <w:rFonts w:hint="eastAsia"/>
          <w:lang w:val="en-US"/>
        </w:rPr>
      </w:pPr>
      <w:r>
        <w:rPr>
          <w:rFonts w:ascii="Times New Roman" w:hAnsi="Times New Roman"/>
          <w:lang w:val="en-US"/>
        </w:rPr>
        <w:t>Table S2.</w:t>
      </w:r>
      <w:r>
        <w:rPr>
          <w:rFonts w:ascii="Times New Roman" w:hAnsi="Times New Roman"/>
          <w:b w:val="false"/>
          <w:bCs w:val="false"/>
          <w:lang w:val="en-US"/>
        </w:rPr>
        <w:t xml:space="preserve"> </w:t>
      </w:r>
      <w:r>
        <w:rPr>
          <w:rFonts w:ascii="Times New Roman" w:hAnsi="Times New Roman"/>
          <w:b w:val="false"/>
          <w:bCs w:val="false"/>
          <w:i/>
          <w:iCs/>
          <w:lang w:val="en-US"/>
        </w:rPr>
        <w:t>Scale Reliability Statistics</w:t>
      </w:r>
    </w:p>
    <w:tbl>
      <w:tblPr>
        <w:tblW w:w="3986"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744"/>
        <w:gridCol w:w="134"/>
        <w:gridCol w:w="1268"/>
        <w:gridCol w:w="214"/>
        <w:gridCol w:w="1313"/>
        <w:gridCol w:w="313"/>
      </w:tblGrid>
      <w:tr>
        <w:trPr>
          <w:tblHeader w:val="true"/>
        </w:trPr>
        <w:tc>
          <w:tcPr>
            <w:tcW w:w="878" w:type="dxa"/>
            <w:gridSpan w:val="2"/>
            <w:tcBorders>
              <w:top w:val="single" w:sz="2" w:space="0" w:color="333333"/>
              <w:bottom w:val="single" w:sz="2" w:space="0" w:color="333333"/>
            </w:tcBorders>
            <w:vAlign w:val="center"/>
          </w:tcPr>
          <w:p>
            <w:pPr>
              <w:pStyle w:val="Nagwektabeliuser"/>
              <w:numPr>
                <w:ilvl w:val="0"/>
                <w:numId w:val="1"/>
              </w:numPr>
              <w:spacing w:lineRule="auto" w:line="480"/>
              <w:jc w:val="start"/>
              <w:rPr>
                <w:rFonts w:ascii="Times New Roman" w:hAnsi="Times New Roman"/>
                <w:lang w:val="en-US"/>
              </w:rPr>
            </w:pPr>
            <w:r>
              <w:rPr>
                <w:rFonts w:ascii="Times New Roman" w:hAnsi="Times New Roman"/>
                <w:lang w:val="en-US"/>
              </w:rPr>
            </w:r>
          </w:p>
        </w:tc>
        <w:tc>
          <w:tcPr>
            <w:tcW w:w="1482" w:type="dxa"/>
            <w:gridSpan w:val="2"/>
            <w:tcBorders>
              <w:top w:val="single" w:sz="2" w:space="0" w:color="333333"/>
              <w:bottom w:val="single" w:sz="2" w:space="0" w:color="333333"/>
            </w:tcBorders>
            <w:vAlign w:val="center"/>
          </w:tcPr>
          <w:p>
            <w:pPr>
              <w:pStyle w:val="Nagwektabeliuser"/>
              <w:numPr>
                <w:ilvl w:val="0"/>
                <w:numId w:val="1"/>
              </w:numPr>
              <w:spacing w:lineRule="auto" w:line="480"/>
              <w:rPr>
                <w:rFonts w:hint="eastAsia"/>
              </w:rPr>
            </w:pPr>
            <w:r>
              <w:rPr>
                <w:rFonts w:ascii="Times New Roman" w:hAnsi="Times New Roman"/>
              </w:rPr>
              <w:t>Cronbach's α</w:t>
            </w:r>
          </w:p>
        </w:tc>
        <w:tc>
          <w:tcPr>
            <w:tcW w:w="1626" w:type="dxa"/>
            <w:gridSpan w:val="2"/>
            <w:tcBorders>
              <w:top w:val="single" w:sz="2" w:space="0" w:color="333333"/>
              <w:bottom w:val="single" w:sz="2" w:space="0" w:color="333333"/>
            </w:tcBorders>
            <w:vAlign w:val="center"/>
          </w:tcPr>
          <w:p>
            <w:pPr>
              <w:pStyle w:val="Nagwektabeliuser"/>
              <w:numPr>
                <w:ilvl w:val="0"/>
                <w:numId w:val="1"/>
              </w:numPr>
              <w:spacing w:lineRule="auto" w:line="480"/>
              <w:rPr>
                <w:rFonts w:hint="eastAsia"/>
              </w:rPr>
            </w:pPr>
            <w:r>
              <w:rPr>
                <w:rFonts w:ascii="Times New Roman" w:hAnsi="Times New Roman"/>
              </w:rPr>
              <w:t>McDonald's ω</w:t>
            </w:r>
          </w:p>
        </w:tc>
      </w:tr>
      <w:tr>
        <w:trPr>
          <w:tblHeader w:val="true"/>
        </w:trPr>
        <w:tc>
          <w:tcPr>
            <w:tcW w:w="744" w:type="dxa"/>
            <w:tcBorders>
              <w:bottom w:val="single" w:sz="6" w:space="0" w:color="333333"/>
            </w:tcBorders>
            <w:vAlign w:val="center"/>
          </w:tcPr>
          <w:p>
            <w:pPr>
              <w:pStyle w:val="Zawartotabeliuser"/>
              <w:numPr>
                <w:ilvl w:val="0"/>
                <w:numId w:val="1"/>
              </w:numPr>
              <w:spacing w:lineRule="auto" w:line="480"/>
              <w:rPr>
                <w:rFonts w:hint="eastAsia"/>
              </w:rPr>
            </w:pPr>
            <w:r>
              <w:rPr>
                <w:rFonts w:hint="eastAsia"/>
              </w:rPr>
            </w:r>
          </w:p>
        </w:tc>
        <w:tc>
          <w:tcPr>
            <w:tcW w:w="134" w:type="dxa"/>
            <w:tcBorders>
              <w:bottom w:val="single" w:sz="6" w:space="0" w:color="333333"/>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c>
          <w:tcPr>
            <w:tcW w:w="1268" w:type="dxa"/>
            <w:tcBorders>
              <w:bottom w:val="single" w:sz="6" w:space="0" w:color="333333"/>
            </w:tcBorders>
            <w:vAlign w:val="center"/>
          </w:tcPr>
          <w:p>
            <w:pPr>
              <w:pStyle w:val="Zawartotabeliuser"/>
              <w:numPr>
                <w:ilvl w:val="0"/>
                <w:numId w:val="1"/>
              </w:numPr>
              <w:spacing w:lineRule="auto" w:line="480"/>
              <w:jc w:val="center"/>
              <w:rPr>
                <w:rFonts w:hint="eastAsia"/>
              </w:rPr>
            </w:pPr>
            <w:r>
              <w:rPr>
                <w:rFonts w:ascii="Times New Roman" w:hAnsi="Times New Roman"/>
              </w:rPr>
              <w:t>0.880</w:t>
            </w:r>
          </w:p>
        </w:tc>
        <w:tc>
          <w:tcPr>
            <w:tcW w:w="214" w:type="dxa"/>
            <w:tcBorders>
              <w:bottom w:val="single" w:sz="6" w:space="0" w:color="333333"/>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313" w:type="dxa"/>
            <w:tcBorders>
              <w:bottom w:val="single" w:sz="6" w:space="0" w:color="333333"/>
            </w:tcBorders>
            <w:vAlign w:val="center"/>
          </w:tcPr>
          <w:p>
            <w:pPr>
              <w:pStyle w:val="Zawartotabeliuser"/>
              <w:numPr>
                <w:ilvl w:val="0"/>
                <w:numId w:val="1"/>
              </w:numPr>
              <w:spacing w:lineRule="auto" w:line="480"/>
              <w:jc w:val="center"/>
              <w:rPr>
                <w:rFonts w:hint="eastAsia"/>
              </w:rPr>
            </w:pPr>
            <w:r>
              <w:rPr>
                <w:rFonts w:ascii="Times New Roman" w:hAnsi="Times New Roman"/>
              </w:rPr>
              <w:t>0.883</w:t>
            </w:r>
          </w:p>
        </w:tc>
        <w:tc>
          <w:tcPr>
            <w:tcW w:w="313" w:type="dxa"/>
            <w:tcBorders>
              <w:bottom w:val="single" w:sz="6" w:space="0" w:color="333333"/>
            </w:tcBorders>
            <w:tcMar>
              <w:bottom w:w="120" w:type="dxa"/>
            </w:tcMar>
            <w:vAlign w:val="center"/>
          </w:tcPr>
          <w:p>
            <w:pPr>
              <w:pStyle w:val="Zawartotabeliuser"/>
              <w:numPr>
                <w:ilvl w:val="0"/>
                <w:numId w:val="1"/>
              </w:numPr>
              <w:spacing w:lineRule="auto" w:line="480"/>
              <w:rPr>
                <w:rFonts w:ascii="Times New Roman" w:hAnsi="Times New Roman"/>
              </w:rPr>
            </w:pPr>
            <w:r>
              <w:rPr>
                <w:rFonts w:ascii="Times New Roman" w:hAnsi="Times New Roman"/>
              </w:rPr>
            </w:r>
          </w:p>
        </w:tc>
      </w:tr>
    </w:tbl>
    <w:p>
      <w:pPr>
        <w:pStyle w:val="BodyText"/>
        <w:numPr>
          <w:ilvl w:val="0"/>
          <w:numId w:val="1"/>
        </w:numPr>
        <w:spacing w:lineRule="auto" w:line="480" w:before="0" w:after="0"/>
        <w:rPr>
          <w:rFonts w:hint="eastAsia"/>
        </w:rPr>
      </w:pPr>
      <w:r>
        <w:rPr>
          <w:rFonts w:ascii="Times New Roman" w:hAnsi="Times New Roman"/>
        </w:rPr>
        <w:t> </w:t>
      </w:r>
    </w:p>
    <w:p>
      <w:pPr>
        <w:pStyle w:val="Nagwektabeliuser"/>
        <w:numPr>
          <w:ilvl w:val="0"/>
          <w:numId w:val="1"/>
        </w:numPr>
        <w:spacing w:lineRule="auto" w:line="480"/>
        <w:jc w:val="start"/>
        <w:rPr>
          <w:rFonts w:hint="eastAsia"/>
        </w:rPr>
      </w:pPr>
      <w:r>
        <w:rPr>
          <w:rFonts w:ascii="Times New Roman" w:hAnsi="Times New Roman"/>
        </w:rPr>
        <w:t>Table S3.</w:t>
      </w:r>
      <w:r>
        <w:rPr>
          <w:rFonts w:ascii="Times New Roman" w:hAnsi="Times New Roman"/>
          <w:b w:val="false"/>
          <w:bCs w:val="false"/>
        </w:rPr>
        <w:t xml:space="preserve"> </w:t>
      </w:r>
      <w:r>
        <w:rPr>
          <w:rFonts w:ascii="Times New Roman" w:hAnsi="Times New Roman"/>
          <w:b w:val="false"/>
          <w:bCs w:val="false"/>
          <w:i/>
          <w:iCs/>
        </w:rPr>
        <w:t>Item Reliability Statistics</w:t>
      </w:r>
    </w:p>
    <w:tbl>
      <w:tblPr>
        <w:tblW w:w="6419"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966"/>
        <w:gridCol w:w="109"/>
        <w:gridCol w:w="1913"/>
        <w:gridCol w:w="324"/>
        <w:gridCol w:w="1267"/>
        <w:gridCol w:w="214"/>
        <w:gridCol w:w="1312"/>
        <w:gridCol w:w="314"/>
      </w:tblGrid>
      <w:tr>
        <w:trPr>
          <w:tblHeader w:val="true"/>
        </w:trPr>
        <w:tc>
          <w:tcPr>
            <w:tcW w:w="3312" w:type="dxa"/>
            <w:gridSpan w:val="4"/>
            <w:tcBorders>
              <w:top w:val="single" w:sz="6" w:space="0" w:color="333333"/>
            </w:tcBorders>
            <w:vAlign w:val="center"/>
          </w:tcPr>
          <w:p>
            <w:pPr>
              <w:pStyle w:val="Nagwektabeliuser"/>
              <w:numPr>
                <w:ilvl w:val="0"/>
                <w:numId w:val="1"/>
              </w:numPr>
              <w:spacing w:lineRule="auto" w:line="480"/>
              <w:rPr>
                <w:rFonts w:ascii="Times New Roman" w:hAnsi="Times New Roman"/>
              </w:rPr>
            </w:pPr>
            <w:r>
              <w:rPr>
                <w:rFonts w:ascii="Times New Roman" w:hAnsi="Times New Roman"/>
              </w:rPr>
            </w:r>
          </w:p>
        </w:tc>
        <w:tc>
          <w:tcPr>
            <w:tcW w:w="3107" w:type="dxa"/>
            <w:gridSpan w:val="4"/>
            <w:tcBorders>
              <w:top w:val="single" w:sz="6" w:space="0" w:color="333333"/>
              <w:bottom w:val="single" w:sz="2" w:space="0" w:color="333333"/>
            </w:tcBorders>
            <w:vAlign w:val="center"/>
          </w:tcPr>
          <w:p>
            <w:pPr>
              <w:pStyle w:val="Nagwektabeliuser"/>
              <w:numPr>
                <w:ilvl w:val="0"/>
                <w:numId w:val="1"/>
              </w:numPr>
              <w:spacing w:lineRule="auto" w:line="480"/>
              <w:rPr>
                <w:rFonts w:hint="eastAsia"/>
              </w:rPr>
            </w:pPr>
            <w:r>
              <w:rPr>
                <w:rFonts w:ascii="Times New Roman" w:hAnsi="Times New Roman"/>
              </w:rPr>
              <w:t>If item dropped</w:t>
            </w:r>
          </w:p>
        </w:tc>
      </w:tr>
      <w:tr>
        <w:trPr>
          <w:tblHeader w:val="true"/>
        </w:trPr>
        <w:tc>
          <w:tcPr>
            <w:tcW w:w="1075" w:type="dxa"/>
            <w:gridSpan w:val="2"/>
            <w:tcBorders>
              <w:bottom w:val="single" w:sz="2" w:space="0" w:color="333333"/>
            </w:tcBorders>
            <w:vAlign w:val="center"/>
          </w:tcPr>
          <w:p>
            <w:pPr>
              <w:pStyle w:val="Nagwektabeliuser"/>
              <w:numPr>
                <w:ilvl w:val="0"/>
                <w:numId w:val="1"/>
              </w:numPr>
              <w:spacing w:lineRule="auto" w:line="480"/>
              <w:rPr>
                <w:rFonts w:ascii="Times New Roman" w:hAnsi="Times New Roman"/>
              </w:rPr>
            </w:pPr>
            <w:r>
              <w:rPr>
                <w:rFonts w:ascii="Times New Roman" w:hAnsi="Times New Roman"/>
              </w:rPr>
            </w:r>
          </w:p>
        </w:tc>
        <w:tc>
          <w:tcPr>
            <w:tcW w:w="2237" w:type="dxa"/>
            <w:gridSpan w:val="2"/>
            <w:tcBorders>
              <w:bottom w:val="single" w:sz="2" w:space="0" w:color="333333"/>
            </w:tcBorders>
            <w:vAlign w:val="center"/>
          </w:tcPr>
          <w:p>
            <w:pPr>
              <w:pStyle w:val="Nagwektabeliuser"/>
              <w:numPr>
                <w:ilvl w:val="0"/>
                <w:numId w:val="1"/>
              </w:numPr>
              <w:spacing w:lineRule="auto" w:line="480"/>
              <w:rPr>
                <w:rFonts w:hint="eastAsia"/>
              </w:rPr>
            </w:pPr>
            <w:r>
              <w:rPr>
                <w:rFonts w:ascii="Times New Roman" w:hAnsi="Times New Roman"/>
              </w:rPr>
              <w:t>Item-rest correlation</w:t>
            </w:r>
          </w:p>
        </w:tc>
        <w:tc>
          <w:tcPr>
            <w:tcW w:w="1481" w:type="dxa"/>
            <w:gridSpan w:val="2"/>
            <w:tcBorders>
              <w:bottom w:val="single" w:sz="2" w:space="0" w:color="333333"/>
            </w:tcBorders>
            <w:vAlign w:val="center"/>
          </w:tcPr>
          <w:p>
            <w:pPr>
              <w:pStyle w:val="Nagwektabeliuser"/>
              <w:numPr>
                <w:ilvl w:val="0"/>
                <w:numId w:val="1"/>
              </w:numPr>
              <w:spacing w:lineRule="auto" w:line="480"/>
              <w:rPr>
                <w:rFonts w:hint="eastAsia"/>
              </w:rPr>
            </w:pPr>
            <w:r>
              <w:rPr>
                <w:rFonts w:ascii="Times New Roman" w:hAnsi="Times New Roman"/>
              </w:rPr>
              <w:t>Cronbach's α</w:t>
            </w:r>
          </w:p>
        </w:tc>
        <w:tc>
          <w:tcPr>
            <w:tcW w:w="1626" w:type="dxa"/>
            <w:gridSpan w:val="2"/>
            <w:tcBorders>
              <w:bottom w:val="single" w:sz="2" w:space="0" w:color="333333"/>
            </w:tcBorders>
            <w:vAlign w:val="center"/>
          </w:tcPr>
          <w:p>
            <w:pPr>
              <w:pStyle w:val="Nagwektabeliuser"/>
              <w:numPr>
                <w:ilvl w:val="0"/>
                <w:numId w:val="1"/>
              </w:numPr>
              <w:spacing w:lineRule="auto" w:line="480"/>
              <w:rPr>
                <w:rFonts w:hint="eastAsia"/>
              </w:rPr>
            </w:pPr>
            <w:r>
              <w:rPr>
                <w:rFonts w:ascii="Times New Roman" w:hAnsi="Times New Roman"/>
              </w:rPr>
              <w:t>McDonald's ω</w:t>
            </w:r>
          </w:p>
        </w:tc>
      </w:tr>
      <w:tr>
        <w:trPr>
          <w:tblHeader w:val="true"/>
        </w:trPr>
        <w:tc>
          <w:tcPr>
            <w:tcW w:w="966" w:type="dxa"/>
            <w:tcBorders/>
            <w:vAlign w:val="center"/>
          </w:tcPr>
          <w:p>
            <w:pPr>
              <w:pStyle w:val="Zawartotabeliuser"/>
              <w:numPr>
                <w:ilvl w:val="0"/>
                <w:numId w:val="1"/>
              </w:numPr>
              <w:spacing w:lineRule="auto" w:line="480"/>
              <w:rPr>
                <w:rFonts w:hint="eastAsia"/>
              </w:rPr>
            </w:pPr>
            <w:r>
              <w:rPr>
                <w:rFonts w:ascii="Times New Roman" w:hAnsi="Times New Roman"/>
              </w:rPr>
              <w:t>obj_1 ᵃ</w:t>
            </w:r>
          </w:p>
        </w:tc>
        <w:tc>
          <w:tcPr>
            <w:tcW w:w="109"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c>
          <w:tcPr>
            <w:tcW w:w="1913" w:type="dxa"/>
            <w:tcBorders/>
            <w:vAlign w:val="center"/>
          </w:tcPr>
          <w:p>
            <w:pPr>
              <w:pStyle w:val="Zawartotabeliuser"/>
              <w:numPr>
                <w:ilvl w:val="0"/>
                <w:numId w:val="1"/>
              </w:numPr>
              <w:spacing w:lineRule="auto" w:line="480"/>
              <w:jc w:val="center"/>
              <w:rPr>
                <w:rFonts w:hint="eastAsia"/>
              </w:rPr>
            </w:pPr>
            <w:r>
              <w:rPr>
                <w:rFonts w:ascii="Times New Roman" w:hAnsi="Times New Roman"/>
              </w:rPr>
              <w:t>0.524</w:t>
            </w:r>
          </w:p>
        </w:tc>
        <w:tc>
          <w:tcPr>
            <w:tcW w:w="32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267" w:type="dxa"/>
            <w:tcBorders/>
            <w:vAlign w:val="center"/>
          </w:tcPr>
          <w:p>
            <w:pPr>
              <w:pStyle w:val="Zawartotabeliuser"/>
              <w:numPr>
                <w:ilvl w:val="0"/>
                <w:numId w:val="1"/>
              </w:numPr>
              <w:spacing w:lineRule="auto" w:line="480"/>
              <w:jc w:val="center"/>
              <w:rPr>
                <w:rFonts w:hint="eastAsia"/>
              </w:rPr>
            </w:pPr>
            <w:r>
              <w:rPr>
                <w:rFonts w:ascii="Times New Roman" w:hAnsi="Times New Roman"/>
              </w:rPr>
              <w:t>0.875</w:t>
            </w:r>
          </w:p>
        </w:tc>
        <w:tc>
          <w:tcPr>
            <w:tcW w:w="21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312" w:type="dxa"/>
            <w:tcBorders/>
            <w:vAlign w:val="center"/>
          </w:tcPr>
          <w:p>
            <w:pPr>
              <w:pStyle w:val="Zawartotabeliuser"/>
              <w:numPr>
                <w:ilvl w:val="0"/>
                <w:numId w:val="1"/>
              </w:numPr>
              <w:spacing w:lineRule="auto" w:line="480"/>
              <w:jc w:val="center"/>
              <w:rPr>
                <w:rFonts w:hint="eastAsia"/>
              </w:rPr>
            </w:pPr>
            <w:r>
              <w:rPr>
                <w:rFonts w:ascii="Times New Roman" w:hAnsi="Times New Roman"/>
              </w:rPr>
              <w:t>0.878</w:t>
            </w:r>
          </w:p>
        </w:tc>
        <w:tc>
          <w:tcPr>
            <w:tcW w:w="314"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r>
      <w:tr>
        <w:trPr/>
        <w:tc>
          <w:tcPr>
            <w:tcW w:w="966" w:type="dxa"/>
            <w:tcBorders/>
            <w:vAlign w:val="center"/>
          </w:tcPr>
          <w:p>
            <w:pPr>
              <w:pStyle w:val="Zawartotabeliuser"/>
              <w:numPr>
                <w:ilvl w:val="0"/>
                <w:numId w:val="1"/>
              </w:numPr>
              <w:spacing w:lineRule="auto" w:line="480"/>
              <w:rPr>
                <w:rFonts w:hint="eastAsia"/>
              </w:rPr>
            </w:pPr>
            <w:r>
              <w:rPr>
                <w:rFonts w:ascii="Times New Roman" w:hAnsi="Times New Roman"/>
              </w:rPr>
              <w:t>obj_2</w:t>
            </w:r>
          </w:p>
        </w:tc>
        <w:tc>
          <w:tcPr>
            <w:tcW w:w="109"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c>
          <w:tcPr>
            <w:tcW w:w="1913" w:type="dxa"/>
            <w:tcBorders/>
            <w:vAlign w:val="center"/>
          </w:tcPr>
          <w:p>
            <w:pPr>
              <w:pStyle w:val="Zawartotabeliuser"/>
              <w:numPr>
                <w:ilvl w:val="0"/>
                <w:numId w:val="1"/>
              </w:numPr>
              <w:spacing w:lineRule="auto" w:line="480"/>
              <w:jc w:val="center"/>
              <w:rPr>
                <w:rFonts w:hint="eastAsia"/>
              </w:rPr>
            </w:pPr>
            <w:r>
              <w:rPr>
                <w:rFonts w:ascii="Times New Roman" w:hAnsi="Times New Roman"/>
              </w:rPr>
              <w:t>0.671</w:t>
            </w:r>
          </w:p>
        </w:tc>
        <w:tc>
          <w:tcPr>
            <w:tcW w:w="32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267" w:type="dxa"/>
            <w:tcBorders/>
            <w:vAlign w:val="center"/>
          </w:tcPr>
          <w:p>
            <w:pPr>
              <w:pStyle w:val="Zawartotabeliuser"/>
              <w:numPr>
                <w:ilvl w:val="0"/>
                <w:numId w:val="1"/>
              </w:numPr>
              <w:spacing w:lineRule="auto" w:line="480"/>
              <w:jc w:val="center"/>
              <w:rPr>
                <w:rFonts w:hint="eastAsia"/>
              </w:rPr>
            </w:pPr>
            <w:r>
              <w:rPr>
                <w:rFonts w:ascii="Times New Roman" w:hAnsi="Times New Roman"/>
              </w:rPr>
              <w:t>0.862</w:t>
            </w:r>
          </w:p>
        </w:tc>
        <w:tc>
          <w:tcPr>
            <w:tcW w:w="21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312" w:type="dxa"/>
            <w:tcBorders/>
            <w:vAlign w:val="center"/>
          </w:tcPr>
          <w:p>
            <w:pPr>
              <w:pStyle w:val="Zawartotabeliuser"/>
              <w:numPr>
                <w:ilvl w:val="0"/>
                <w:numId w:val="1"/>
              </w:numPr>
              <w:spacing w:lineRule="auto" w:line="480"/>
              <w:jc w:val="center"/>
              <w:rPr>
                <w:rFonts w:hint="eastAsia"/>
              </w:rPr>
            </w:pPr>
            <w:r>
              <w:rPr>
                <w:rFonts w:ascii="Times New Roman" w:hAnsi="Times New Roman"/>
              </w:rPr>
              <w:t>0.867</w:t>
            </w:r>
          </w:p>
        </w:tc>
        <w:tc>
          <w:tcPr>
            <w:tcW w:w="314"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r>
      <w:tr>
        <w:trPr/>
        <w:tc>
          <w:tcPr>
            <w:tcW w:w="966" w:type="dxa"/>
            <w:tcBorders/>
            <w:vAlign w:val="center"/>
          </w:tcPr>
          <w:p>
            <w:pPr>
              <w:pStyle w:val="Zawartotabeliuser"/>
              <w:numPr>
                <w:ilvl w:val="0"/>
                <w:numId w:val="1"/>
              </w:numPr>
              <w:spacing w:lineRule="auto" w:line="480"/>
              <w:rPr>
                <w:rFonts w:hint="eastAsia"/>
              </w:rPr>
            </w:pPr>
            <w:r>
              <w:rPr>
                <w:rFonts w:ascii="Times New Roman" w:hAnsi="Times New Roman"/>
              </w:rPr>
              <w:t>obj_3</w:t>
            </w:r>
          </w:p>
        </w:tc>
        <w:tc>
          <w:tcPr>
            <w:tcW w:w="109"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c>
          <w:tcPr>
            <w:tcW w:w="1913" w:type="dxa"/>
            <w:tcBorders/>
            <w:vAlign w:val="center"/>
          </w:tcPr>
          <w:p>
            <w:pPr>
              <w:pStyle w:val="Zawartotabeliuser"/>
              <w:numPr>
                <w:ilvl w:val="0"/>
                <w:numId w:val="1"/>
              </w:numPr>
              <w:spacing w:lineRule="auto" w:line="480"/>
              <w:jc w:val="center"/>
              <w:rPr>
                <w:rFonts w:hint="eastAsia"/>
              </w:rPr>
            </w:pPr>
            <w:r>
              <w:rPr>
                <w:rFonts w:ascii="Times New Roman" w:hAnsi="Times New Roman"/>
              </w:rPr>
              <w:t>0.699</w:t>
            </w:r>
          </w:p>
        </w:tc>
        <w:tc>
          <w:tcPr>
            <w:tcW w:w="32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267" w:type="dxa"/>
            <w:tcBorders/>
            <w:vAlign w:val="center"/>
          </w:tcPr>
          <w:p>
            <w:pPr>
              <w:pStyle w:val="Zawartotabeliuser"/>
              <w:numPr>
                <w:ilvl w:val="0"/>
                <w:numId w:val="1"/>
              </w:numPr>
              <w:spacing w:lineRule="auto" w:line="480"/>
              <w:jc w:val="center"/>
              <w:rPr>
                <w:rFonts w:hint="eastAsia"/>
              </w:rPr>
            </w:pPr>
            <w:r>
              <w:rPr>
                <w:rFonts w:ascii="Times New Roman" w:hAnsi="Times New Roman"/>
              </w:rPr>
              <w:t>0.860</w:t>
            </w:r>
          </w:p>
        </w:tc>
        <w:tc>
          <w:tcPr>
            <w:tcW w:w="21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312" w:type="dxa"/>
            <w:tcBorders/>
            <w:vAlign w:val="center"/>
          </w:tcPr>
          <w:p>
            <w:pPr>
              <w:pStyle w:val="Zawartotabeliuser"/>
              <w:numPr>
                <w:ilvl w:val="0"/>
                <w:numId w:val="1"/>
              </w:numPr>
              <w:spacing w:lineRule="auto" w:line="480"/>
              <w:jc w:val="center"/>
              <w:rPr>
                <w:rFonts w:hint="eastAsia"/>
              </w:rPr>
            </w:pPr>
            <w:r>
              <w:rPr>
                <w:rFonts w:ascii="Times New Roman" w:hAnsi="Times New Roman"/>
              </w:rPr>
              <w:t>0.865</w:t>
            </w:r>
          </w:p>
        </w:tc>
        <w:tc>
          <w:tcPr>
            <w:tcW w:w="314"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r>
      <w:tr>
        <w:trPr/>
        <w:tc>
          <w:tcPr>
            <w:tcW w:w="966" w:type="dxa"/>
            <w:tcBorders/>
            <w:vAlign w:val="center"/>
          </w:tcPr>
          <w:p>
            <w:pPr>
              <w:pStyle w:val="Zawartotabeliuser"/>
              <w:numPr>
                <w:ilvl w:val="0"/>
                <w:numId w:val="1"/>
              </w:numPr>
              <w:spacing w:lineRule="auto" w:line="480"/>
              <w:rPr>
                <w:rFonts w:hint="eastAsia"/>
              </w:rPr>
            </w:pPr>
            <w:r>
              <w:rPr>
                <w:rFonts w:ascii="Times New Roman" w:hAnsi="Times New Roman"/>
              </w:rPr>
              <w:t>obj_4 ᵃ</w:t>
            </w:r>
          </w:p>
        </w:tc>
        <w:tc>
          <w:tcPr>
            <w:tcW w:w="109"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c>
          <w:tcPr>
            <w:tcW w:w="1913" w:type="dxa"/>
            <w:tcBorders/>
            <w:vAlign w:val="center"/>
          </w:tcPr>
          <w:p>
            <w:pPr>
              <w:pStyle w:val="Zawartotabeliuser"/>
              <w:numPr>
                <w:ilvl w:val="0"/>
                <w:numId w:val="1"/>
              </w:numPr>
              <w:spacing w:lineRule="auto" w:line="480"/>
              <w:jc w:val="center"/>
              <w:rPr>
                <w:rFonts w:hint="eastAsia"/>
              </w:rPr>
            </w:pPr>
            <w:r>
              <w:rPr>
                <w:rFonts w:ascii="Times New Roman" w:hAnsi="Times New Roman"/>
              </w:rPr>
              <w:t>0.540</w:t>
            </w:r>
          </w:p>
        </w:tc>
        <w:tc>
          <w:tcPr>
            <w:tcW w:w="32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267" w:type="dxa"/>
            <w:tcBorders/>
            <w:vAlign w:val="center"/>
          </w:tcPr>
          <w:p>
            <w:pPr>
              <w:pStyle w:val="Zawartotabeliuser"/>
              <w:numPr>
                <w:ilvl w:val="0"/>
                <w:numId w:val="1"/>
              </w:numPr>
              <w:spacing w:lineRule="auto" w:line="480"/>
              <w:jc w:val="center"/>
              <w:rPr>
                <w:rFonts w:hint="eastAsia"/>
              </w:rPr>
            </w:pPr>
            <w:r>
              <w:rPr>
                <w:rFonts w:ascii="Times New Roman" w:hAnsi="Times New Roman"/>
              </w:rPr>
              <w:t>0.873</w:t>
            </w:r>
          </w:p>
        </w:tc>
        <w:tc>
          <w:tcPr>
            <w:tcW w:w="21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312" w:type="dxa"/>
            <w:tcBorders/>
            <w:vAlign w:val="center"/>
          </w:tcPr>
          <w:p>
            <w:pPr>
              <w:pStyle w:val="Zawartotabeliuser"/>
              <w:numPr>
                <w:ilvl w:val="0"/>
                <w:numId w:val="1"/>
              </w:numPr>
              <w:spacing w:lineRule="auto" w:line="480"/>
              <w:jc w:val="center"/>
              <w:rPr>
                <w:rFonts w:hint="eastAsia"/>
              </w:rPr>
            </w:pPr>
            <w:r>
              <w:rPr>
                <w:rFonts w:ascii="Times New Roman" w:hAnsi="Times New Roman"/>
              </w:rPr>
              <w:t>0.877</w:t>
            </w:r>
          </w:p>
        </w:tc>
        <w:tc>
          <w:tcPr>
            <w:tcW w:w="314"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r>
      <w:tr>
        <w:trPr/>
        <w:tc>
          <w:tcPr>
            <w:tcW w:w="966" w:type="dxa"/>
            <w:tcBorders/>
            <w:vAlign w:val="center"/>
          </w:tcPr>
          <w:p>
            <w:pPr>
              <w:pStyle w:val="Zawartotabeliuser"/>
              <w:numPr>
                <w:ilvl w:val="0"/>
                <w:numId w:val="1"/>
              </w:numPr>
              <w:spacing w:lineRule="auto" w:line="480"/>
              <w:rPr>
                <w:rFonts w:hint="eastAsia"/>
              </w:rPr>
            </w:pPr>
            <w:r>
              <w:rPr>
                <w:rFonts w:ascii="Times New Roman" w:hAnsi="Times New Roman"/>
              </w:rPr>
              <w:t>obj_5</w:t>
            </w:r>
          </w:p>
        </w:tc>
        <w:tc>
          <w:tcPr>
            <w:tcW w:w="109"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c>
          <w:tcPr>
            <w:tcW w:w="1913" w:type="dxa"/>
            <w:tcBorders/>
            <w:vAlign w:val="center"/>
          </w:tcPr>
          <w:p>
            <w:pPr>
              <w:pStyle w:val="Zawartotabeliuser"/>
              <w:numPr>
                <w:ilvl w:val="0"/>
                <w:numId w:val="1"/>
              </w:numPr>
              <w:spacing w:lineRule="auto" w:line="480"/>
              <w:jc w:val="center"/>
              <w:rPr>
                <w:rFonts w:hint="eastAsia"/>
              </w:rPr>
            </w:pPr>
            <w:r>
              <w:rPr>
                <w:rFonts w:ascii="Times New Roman" w:hAnsi="Times New Roman"/>
              </w:rPr>
              <w:t>0.549</w:t>
            </w:r>
          </w:p>
        </w:tc>
        <w:tc>
          <w:tcPr>
            <w:tcW w:w="32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267" w:type="dxa"/>
            <w:tcBorders/>
            <w:vAlign w:val="center"/>
          </w:tcPr>
          <w:p>
            <w:pPr>
              <w:pStyle w:val="Zawartotabeliuser"/>
              <w:numPr>
                <w:ilvl w:val="0"/>
                <w:numId w:val="1"/>
              </w:numPr>
              <w:spacing w:lineRule="auto" w:line="480"/>
              <w:jc w:val="center"/>
              <w:rPr>
                <w:rFonts w:hint="eastAsia"/>
              </w:rPr>
            </w:pPr>
            <w:r>
              <w:rPr>
                <w:rFonts w:ascii="Times New Roman" w:hAnsi="Times New Roman"/>
              </w:rPr>
              <w:t>0.876</w:t>
            </w:r>
          </w:p>
        </w:tc>
        <w:tc>
          <w:tcPr>
            <w:tcW w:w="21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312" w:type="dxa"/>
            <w:tcBorders/>
            <w:vAlign w:val="center"/>
          </w:tcPr>
          <w:p>
            <w:pPr>
              <w:pStyle w:val="Zawartotabeliuser"/>
              <w:numPr>
                <w:ilvl w:val="0"/>
                <w:numId w:val="1"/>
              </w:numPr>
              <w:spacing w:lineRule="auto" w:line="480"/>
              <w:jc w:val="center"/>
              <w:rPr>
                <w:rFonts w:hint="eastAsia"/>
              </w:rPr>
            </w:pPr>
            <w:r>
              <w:rPr>
                <w:rFonts w:ascii="Times New Roman" w:hAnsi="Times New Roman"/>
              </w:rPr>
              <w:t>0.877</w:t>
            </w:r>
          </w:p>
        </w:tc>
        <w:tc>
          <w:tcPr>
            <w:tcW w:w="314"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r>
      <w:tr>
        <w:trPr/>
        <w:tc>
          <w:tcPr>
            <w:tcW w:w="966" w:type="dxa"/>
            <w:tcBorders/>
            <w:vAlign w:val="center"/>
          </w:tcPr>
          <w:p>
            <w:pPr>
              <w:pStyle w:val="Zawartotabeliuser"/>
              <w:numPr>
                <w:ilvl w:val="0"/>
                <w:numId w:val="1"/>
              </w:numPr>
              <w:spacing w:lineRule="auto" w:line="480"/>
              <w:rPr>
                <w:rFonts w:hint="eastAsia"/>
              </w:rPr>
            </w:pPr>
            <w:r>
              <w:rPr>
                <w:rFonts w:ascii="Times New Roman" w:hAnsi="Times New Roman"/>
              </w:rPr>
              <w:t>obj_6</w:t>
            </w:r>
          </w:p>
        </w:tc>
        <w:tc>
          <w:tcPr>
            <w:tcW w:w="109"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c>
          <w:tcPr>
            <w:tcW w:w="1913" w:type="dxa"/>
            <w:tcBorders/>
            <w:vAlign w:val="center"/>
          </w:tcPr>
          <w:p>
            <w:pPr>
              <w:pStyle w:val="Zawartotabeliuser"/>
              <w:numPr>
                <w:ilvl w:val="0"/>
                <w:numId w:val="1"/>
              </w:numPr>
              <w:spacing w:lineRule="auto" w:line="480"/>
              <w:jc w:val="center"/>
              <w:rPr>
                <w:rFonts w:hint="eastAsia"/>
              </w:rPr>
            </w:pPr>
            <w:r>
              <w:rPr>
                <w:rFonts w:ascii="Times New Roman" w:hAnsi="Times New Roman"/>
              </w:rPr>
              <w:t>0.751</w:t>
            </w:r>
          </w:p>
        </w:tc>
        <w:tc>
          <w:tcPr>
            <w:tcW w:w="32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267" w:type="dxa"/>
            <w:tcBorders/>
            <w:vAlign w:val="center"/>
          </w:tcPr>
          <w:p>
            <w:pPr>
              <w:pStyle w:val="Zawartotabeliuser"/>
              <w:numPr>
                <w:ilvl w:val="0"/>
                <w:numId w:val="1"/>
              </w:numPr>
              <w:spacing w:lineRule="auto" w:line="480"/>
              <w:jc w:val="center"/>
              <w:rPr>
                <w:rFonts w:hint="eastAsia"/>
              </w:rPr>
            </w:pPr>
            <w:r>
              <w:rPr>
                <w:rFonts w:ascii="Times New Roman" w:hAnsi="Times New Roman"/>
              </w:rPr>
              <w:t>0.855</w:t>
            </w:r>
          </w:p>
        </w:tc>
        <w:tc>
          <w:tcPr>
            <w:tcW w:w="21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312" w:type="dxa"/>
            <w:tcBorders/>
            <w:vAlign w:val="center"/>
          </w:tcPr>
          <w:p>
            <w:pPr>
              <w:pStyle w:val="Zawartotabeliuser"/>
              <w:numPr>
                <w:ilvl w:val="0"/>
                <w:numId w:val="1"/>
              </w:numPr>
              <w:spacing w:lineRule="auto" w:line="480"/>
              <w:jc w:val="center"/>
              <w:rPr>
                <w:rFonts w:hint="eastAsia"/>
              </w:rPr>
            </w:pPr>
            <w:r>
              <w:rPr>
                <w:rFonts w:ascii="Times New Roman" w:hAnsi="Times New Roman"/>
              </w:rPr>
              <w:t>0.860</w:t>
            </w:r>
          </w:p>
        </w:tc>
        <w:tc>
          <w:tcPr>
            <w:tcW w:w="314"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r>
      <w:tr>
        <w:trPr/>
        <w:tc>
          <w:tcPr>
            <w:tcW w:w="966" w:type="dxa"/>
            <w:tcBorders/>
            <w:vAlign w:val="center"/>
          </w:tcPr>
          <w:p>
            <w:pPr>
              <w:pStyle w:val="Zawartotabeliuser"/>
              <w:numPr>
                <w:ilvl w:val="0"/>
                <w:numId w:val="1"/>
              </w:numPr>
              <w:spacing w:lineRule="auto" w:line="480"/>
              <w:rPr>
                <w:rFonts w:hint="eastAsia"/>
              </w:rPr>
            </w:pPr>
            <w:r>
              <w:rPr>
                <w:rFonts w:ascii="Times New Roman" w:hAnsi="Times New Roman"/>
              </w:rPr>
              <w:t>obj_7 ᵃ</w:t>
            </w:r>
          </w:p>
        </w:tc>
        <w:tc>
          <w:tcPr>
            <w:tcW w:w="109"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c>
          <w:tcPr>
            <w:tcW w:w="1913" w:type="dxa"/>
            <w:tcBorders/>
            <w:vAlign w:val="center"/>
          </w:tcPr>
          <w:p>
            <w:pPr>
              <w:pStyle w:val="Zawartotabeliuser"/>
              <w:numPr>
                <w:ilvl w:val="0"/>
                <w:numId w:val="1"/>
              </w:numPr>
              <w:spacing w:lineRule="auto" w:line="480"/>
              <w:jc w:val="center"/>
              <w:rPr>
                <w:rFonts w:hint="eastAsia"/>
              </w:rPr>
            </w:pPr>
            <w:r>
              <w:rPr>
                <w:rFonts w:ascii="Times New Roman" w:hAnsi="Times New Roman"/>
              </w:rPr>
              <w:t>0.554</w:t>
            </w:r>
          </w:p>
        </w:tc>
        <w:tc>
          <w:tcPr>
            <w:tcW w:w="32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267" w:type="dxa"/>
            <w:tcBorders/>
            <w:vAlign w:val="center"/>
          </w:tcPr>
          <w:p>
            <w:pPr>
              <w:pStyle w:val="Zawartotabeliuser"/>
              <w:numPr>
                <w:ilvl w:val="0"/>
                <w:numId w:val="1"/>
              </w:numPr>
              <w:spacing w:lineRule="auto" w:line="480"/>
              <w:jc w:val="center"/>
              <w:rPr>
                <w:rFonts w:hint="eastAsia"/>
              </w:rPr>
            </w:pPr>
            <w:r>
              <w:rPr>
                <w:rFonts w:ascii="Times New Roman" w:hAnsi="Times New Roman"/>
              </w:rPr>
              <w:t>0.873</w:t>
            </w:r>
          </w:p>
        </w:tc>
        <w:tc>
          <w:tcPr>
            <w:tcW w:w="21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312" w:type="dxa"/>
            <w:tcBorders/>
            <w:vAlign w:val="center"/>
          </w:tcPr>
          <w:p>
            <w:pPr>
              <w:pStyle w:val="Zawartotabeliuser"/>
              <w:numPr>
                <w:ilvl w:val="0"/>
                <w:numId w:val="1"/>
              </w:numPr>
              <w:spacing w:lineRule="auto" w:line="480"/>
              <w:jc w:val="center"/>
              <w:rPr>
                <w:rFonts w:hint="eastAsia"/>
              </w:rPr>
            </w:pPr>
            <w:r>
              <w:rPr>
                <w:rFonts w:ascii="Times New Roman" w:hAnsi="Times New Roman"/>
              </w:rPr>
              <w:t>0.876</w:t>
            </w:r>
          </w:p>
        </w:tc>
        <w:tc>
          <w:tcPr>
            <w:tcW w:w="314"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r>
      <w:tr>
        <w:trPr/>
        <w:tc>
          <w:tcPr>
            <w:tcW w:w="966" w:type="dxa"/>
            <w:tcBorders/>
            <w:vAlign w:val="center"/>
          </w:tcPr>
          <w:p>
            <w:pPr>
              <w:pStyle w:val="Zawartotabeliuser"/>
              <w:numPr>
                <w:ilvl w:val="0"/>
                <w:numId w:val="1"/>
              </w:numPr>
              <w:spacing w:lineRule="auto" w:line="480"/>
              <w:rPr>
                <w:rFonts w:hint="eastAsia"/>
              </w:rPr>
            </w:pPr>
            <w:r>
              <w:rPr>
                <w:rFonts w:ascii="Times New Roman" w:hAnsi="Times New Roman"/>
              </w:rPr>
              <w:t>obj_8</w:t>
            </w:r>
          </w:p>
        </w:tc>
        <w:tc>
          <w:tcPr>
            <w:tcW w:w="109"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c>
          <w:tcPr>
            <w:tcW w:w="1913" w:type="dxa"/>
            <w:tcBorders/>
            <w:vAlign w:val="center"/>
          </w:tcPr>
          <w:p>
            <w:pPr>
              <w:pStyle w:val="Zawartotabeliuser"/>
              <w:numPr>
                <w:ilvl w:val="0"/>
                <w:numId w:val="1"/>
              </w:numPr>
              <w:spacing w:lineRule="auto" w:line="480"/>
              <w:jc w:val="center"/>
              <w:rPr>
                <w:rFonts w:hint="eastAsia"/>
              </w:rPr>
            </w:pPr>
            <w:r>
              <w:rPr>
                <w:rFonts w:ascii="Times New Roman" w:hAnsi="Times New Roman"/>
              </w:rPr>
              <w:t>0.643</w:t>
            </w:r>
          </w:p>
        </w:tc>
        <w:tc>
          <w:tcPr>
            <w:tcW w:w="32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267" w:type="dxa"/>
            <w:tcBorders/>
            <w:vAlign w:val="center"/>
          </w:tcPr>
          <w:p>
            <w:pPr>
              <w:pStyle w:val="Zawartotabeliuser"/>
              <w:numPr>
                <w:ilvl w:val="0"/>
                <w:numId w:val="1"/>
              </w:numPr>
              <w:spacing w:lineRule="auto" w:line="480"/>
              <w:jc w:val="center"/>
              <w:rPr>
                <w:rFonts w:hint="eastAsia"/>
              </w:rPr>
            </w:pPr>
            <w:r>
              <w:rPr>
                <w:rFonts w:ascii="Times New Roman" w:hAnsi="Times New Roman"/>
              </w:rPr>
              <w:t>0.865</w:t>
            </w:r>
          </w:p>
        </w:tc>
        <w:tc>
          <w:tcPr>
            <w:tcW w:w="214"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312" w:type="dxa"/>
            <w:tcBorders/>
            <w:vAlign w:val="center"/>
          </w:tcPr>
          <w:p>
            <w:pPr>
              <w:pStyle w:val="Zawartotabeliuser"/>
              <w:numPr>
                <w:ilvl w:val="0"/>
                <w:numId w:val="1"/>
              </w:numPr>
              <w:spacing w:lineRule="auto" w:line="480"/>
              <w:jc w:val="center"/>
              <w:rPr>
                <w:rFonts w:hint="eastAsia"/>
              </w:rPr>
            </w:pPr>
            <w:r>
              <w:rPr>
                <w:rFonts w:ascii="Times New Roman" w:hAnsi="Times New Roman"/>
              </w:rPr>
              <w:t>0.869</w:t>
            </w:r>
          </w:p>
        </w:tc>
        <w:tc>
          <w:tcPr>
            <w:tcW w:w="314"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r>
      <w:tr>
        <w:trPr/>
        <w:tc>
          <w:tcPr>
            <w:tcW w:w="966" w:type="dxa"/>
            <w:tcBorders>
              <w:bottom w:val="single" w:sz="6" w:space="0" w:color="333333"/>
            </w:tcBorders>
            <w:vAlign w:val="center"/>
          </w:tcPr>
          <w:p>
            <w:pPr>
              <w:pStyle w:val="Zawartotabeliuser"/>
              <w:numPr>
                <w:ilvl w:val="0"/>
                <w:numId w:val="1"/>
              </w:numPr>
              <w:spacing w:lineRule="auto" w:line="480"/>
              <w:rPr>
                <w:rFonts w:hint="eastAsia"/>
              </w:rPr>
            </w:pPr>
            <w:r>
              <w:rPr>
                <w:rFonts w:ascii="Times New Roman" w:hAnsi="Times New Roman"/>
              </w:rPr>
              <w:t>obj_9</w:t>
            </w:r>
          </w:p>
        </w:tc>
        <w:tc>
          <w:tcPr>
            <w:tcW w:w="109" w:type="dxa"/>
            <w:tcBorders>
              <w:bottom w:val="single" w:sz="6" w:space="0" w:color="333333"/>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c>
          <w:tcPr>
            <w:tcW w:w="1913" w:type="dxa"/>
            <w:tcBorders>
              <w:bottom w:val="single" w:sz="6" w:space="0" w:color="333333"/>
            </w:tcBorders>
            <w:vAlign w:val="center"/>
          </w:tcPr>
          <w:p>
            <w:pPr>
              <w:pStyle w:val="Zawartotabeliuser"/>
              <w:numPr>
                <w:ilvl w:val="0"/>
                <w:numId w:val="1"/>
              </w:numPr>
              <w:spacing w:lineRule="auto" w:line="480"/>
              <w:jc w:val="center"/>
              <w:rPr>
                <w:rFonts w:hint="eastAsia"/>
              </w:rPr>
            </w:pPr>
            <w:r>
              <w:rPr>
                <w:rFonts w:ascii="Times New Roman" w:hAnsi="Times New Roman"/>
              </w:rPr>
              <w:t>0.721</w:t>
            </w:r>
          </w:p>
        </w:tc>
        <w:tc>
          <w:tcPr>
            <w:tcW w:w="324" w:type="dxa"/>
            <w:tcBorders>
              <w:bottom w:val="single" w:sz="6" w:space="0" w:color="333333"/>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267" w:type="dxa"/>
            <w:tcBorders>
              <w:bottom w:val="single" w:sz="6" w:space="0" w:color="333333"/>
            </w:tcBorders>
            <w:vAlign w:val="center"/>
          </w:tcPr>
          <w:p>
            <w:pPr>
              <w:pStyle w:val="Zawartotabeliuser"/>
              <w:numPr>
                <w:ilvl w:val="0"/>
                <w:numId w:val="1"/>
              </w:numPr>
              <w:spacing w:lineRule="auto" w:line="480"/>
              <w:jc w:val="center"/>
              <w:rPr>
                <w:rFonts w:hint="eastAsia"/>
              </w:rPr>
            </w:pPr>
            <w:r>
              <w:rPr>
                <w:rFonts w:ascii="Times New Roman" w:hAnsi="Times New Roman"/>
              </w:rPr>
              <w:t>0.858</w:t>
            </w:r>
          </w:p>
        </w:tc>
        <w:tc>
          <w:tcPr>
            <w:tcW w:w="214" w:type="dxa"/>
            <w:tcBorders>
              <w:bottom w:val="single" w:sz="6" w:space="0" w:color="333333"/>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r>
          </w:p>
        </w:tc>
        <w:tc>
          <w:tcPr>
            <w:tcW w:w="1312" w:type="dxa"/>
            <w:tcBorders>
              <w:bottom w:val="single" w:sz="6" w:space="0" w:color="333333"/>
            </w:tcBorders>
            <w:vAlign w:val="center"/>
          </w:tcPr>
          <w:p>
            <w:pPr>
              <w:pStyle w:val="Zawartotabeliuser"/>
              <w:numPr>
                <w:ilvl w:val="0"/>
                <w:numId w:val="1"/>
              </w:numPr>
              <w:spacing w:lineRule="auto" w:line="480"/>
              <w:jc w:val="center"/>
              <w:rPr>
                <w:rFonts w:hint="eastAsia"/>
              </w:rPr>
            </w:pPr>
            <w:r>
              <w:rPr>
                <w:rFonts w:ascii="Times New Roman" w:hAnsi="Times New Roman"/>
              </w:rPr>
              <w:t>0.862</w:t>
            </w:r>
          </w:p>
        </w:tc>
        <w:tc>
          <w:tcPr>
            <w:tcW w:w="314" w:type="dxa"/>
            <w:tcBorders>
              <w:bottom w:val="single" w:sz="6" w:space="0" w:color="333333"/>
            </w:tcBorders>
            <w:vAlign w:val="center"/>
          </w:tcPr>
          <w:p>
            <w:pPr>
              <w:pStyle w:val="Zawartotabeliuser"/>
              <w:numPr>
                <w:ilvl w:val="0"/>
                <w:numId w:val="1"/>
              </w:numPr>
              <w:spacing w:lineRule="auto" w:line="480"/>
              <w:rPr>
                <w:rFonts w:ascii="Times New Roman" w:hAnsi="Times New Roman"/>
              </w:rPr>
            </w:pPr>
            <w:r>
              <w:rPr>
                <w:rFonts w:ascii="Times New Roman" w:hAnsi="Times New Roman"/>
              </w:rPr>
            </w:r>
          </w:p>
        </w:tc>
      </w:tr>
      <w:tr>
        <w:trPr/>
        <w:tc>
          <w:tcPr>
            <w:tcW w:w="6419" w:type="dxa"/>
            <w:gridSpan w:val="8"/>
            <w:tcBorders>
              <w:top w:val="single" w:sz="2" w:space="0" w:color="333333"/>
            </w:tcBorders>
            <w:vAlign w:val="center"/>
          </w:tcPr>
          <w:p>
            <w:pPr>
              <w:pStyle w:val="Zawartotabeliuser"/>
              <w:numPr>
                <w:ilvl w:val="0"/>
                <w:numId w:val="1"/>
              </w:numPr>
              <w:spacing w:lineRule="auto" w:line="480"/>
              <w:rPr>
                <w:rFonts w:hint="eastAsia"/>
              </w:rPr>
            </w:pPr>
            <w:r>
              <w:rPr>
                <w:rFonts w:ascii="Times New Roman" w:hAnsi="Times New Roman"/>
                <w:i/>
                <w:iCs/>
              </w:rPr>
              <w:t>Note</w:t>
            </w:r>
            <w:r>
              <w:rPr>
                <w:rFonts w:ascii="Times New Roman" w:hAnsi="Times New Roman"/>
              </w:rPr>
              <w:t>. ᵃ reverse coded item</w:t>
            </w:r>
          </w:p>
        </w:tc>
      </w:tr>
    </w:tbl>
    <w:p>
      <w:pPr>
        <w:pStyle w:val="BodyText"/>
        <w:numPr>
          <w:ilvl w:val="0"/>
          <w:numId w:val="1"/>
        </w:numPr>
        <w:spacing w:lineRule="auto" w:line="480" w:before="0" w:after="0"/>
        <w:rPr>
          <w:rFonts w:ascii="Times New Roman" w:hAnsi="Times New Roman" w:eastAsia="Times New Roman" w:cs="Times New Roman"/>
          <w:color w:val="000000"/>
          <w:lang w:val="en-US" w:eastAsia="pl-PL"/>
        </w:rPr>
      </w:pPr>
      <w:r>
        <w:rPr>
          <w:rFonts w:eastAsia="Times New Roman" w:cs="Times New Roman" w:ascii="Times New Roman" w:hAnsi="Times New Roman"/>
          <w:color w:val="000000"/>
          <w:lang w:val="en-US" w:eastAsia="pl-PL"/>
        </w:rPr>
      </w:r>
    </w:p>
    <w:p>
      <w:pPr>
        <w:pStyle w:val="Heading2"/>
        <w:spacing w:lineRule="auto" w:line="480" w:before="0" w:after="0"/>
        <w:rPr>
          <w:rStyle w:val="Strong"/>
          <w:rFonts w:ascii="Times New Roman" w:hAnsi="Times New Roman"/>
          <w:b/>
          <w:bCs/>
          <w:color w:val="000000"/>
          <w:sz w:val="24"/>
          <w:szCs w:val="24"/>
          <w:u w:val="single"/>
          <w:lang w:val="en-US"/>
        </w:rPr>
      </w:pPr>
      <w:r>
        <w:rPr>
          <w:rFonts w:ascii="Times New Roman" w:hAnsi="Times New Roman"/>
          <w:b/>
          <w:bCs/>
          <w:color w:val="000000"/>
          <w:sz w:val="24"/>
          <w:szCs w:val="24"/>
          <w:u w:val="single"/>
          <w:lang w:val="en-US"/>
        </w:rPr>
      </w:r>
      <w:r>
        <w:br w:type="page"/>
      </w:r>
    </w:p>
    <w:p>
      <w:pPr>
        <w:pStyle w:val="Heading2"/>
        <w:numPr>
          <w:ilvl w:val="0"/>
          <w:numId w:val="1"/>
        </w:numPr>
        <w:spacing w:before="0" w:after="0"/>
        <w:rPr>
          <w:rFonts w:hint="eastAsia"/>
          <w:lang w:val="en-US"/>
        </w:rPr>
      </w:pPr>
      <w:bookmarkStart w:id="7" w:name="__RefHeading___Toc4507_4084243184"/>
      <w:bookmarkStart w:id="8" w:name="_Toc232183043"/>
      <w:bookmarkEnd w:id="7"/>
      <w:r>
        <w:rPr>
          <w:rStyle w:val="Strong"/>
          <w:rFonts w:ascii="Times New Roman" w:hAnsi="Times New Roman"/>
          <w:b/>
          <w:bCs/>
          <w:color w:val="000000"/>
          <w:sz w:val="24"/>
          <w:szCs w:val="24"/>
          <w:u w:val="single"/>
          <w:lang w:val="en-US"/>
        </w:rPr>
        <w:t>1.3. Confirmatory Factor Analysis of  Romantic Partner Objectification Scale – current study</w:t>
      </w:r>
      <w:bookmarkEnd w:id="8"/>
    </w:p>
    <w:p>
      <w:pPr>
        <w:pStyle w:val="Normal"/>
        <w:numPr>
          <w:ilvl w:val="0"/>
          <w:numId w:val="1"/>
        </w:numPr>
        <w:spacing w:lineRule="auto" w:line="360"/>
        <w:rPr>
          <w:rFonts w:hint="eastAsia"/>
          <w:lang w:val="en-US"/>
        </w:rPr>
      </w:pPr>
      <w:r>
        <w:rPr>
          <w:rFonts w:hint="eastAsia"/>
          <w:lang w:val="en-US"/>
        </w:rPr>
      </w:r>
    </w:p>
    <w:p>
      <w:pPr>
        <w:pStyle w:val="Normal"/>
        <w:numPr>
          <w:ilvl w:val="0"/>
          <w:numId w:val="1"/>
        </w:numPr>
        <w:spacing w:lineRule="auto" w:line="480"/>
        <w:rPr>
          <w:rFonts w:hint="eastAsia"/>
          <w:lang w:val="en-US"/>
        </w:rPr>
      </w:pPr>
      <w:r>
        <w:rPr>
          <w:rStyle w:val="Strong"/>
          <w:rFonts w:ascii="Times New Roman" w:hAnsi="Times New Roman"/>
          <w:b w:val="false"/>
          <w:bCs w:val="false"/>
          <w:color w:val="000000"/>
          <w:lang w:val="en-US"/>
        </w:rPr>
        <w:tab/>
        <w:t xml:space="preserve">A one-factor CFA was conducted to examine the structure of the Romantic Partner Objectification Scale after reverse-coding the negatively worded items. To account for shared variance related to item wording, residuals of the reverse-coded items were allowed to correlate. The resulting model showed acceptable fit to the data, χ²(24) = 90.40, </w:t>
      </w:r>
      <w:r>
        <w:rPr>
          <w:rStyle w:val="Emphasis"/>
          <w:rFonts w:ascii="Times New Roman" w:hAnsi="Times New Roman"/>
          <w:color w:val="000000"/>
          <w:lang w:val="en-US"/>
        </w:rPr>
        <w:t>p</w:t>
      </w:r>
      <w:r>
        <w:rPr>
          <w:rStyle w:val="Strong"/>
          <w:rFonts w:ascii="Times New Roman" w:hAnsi="Times New Roman"/>
          <w:b w:val="false"/>
          <w:bCs w:val="false"/>
          <w:color w:val="000000"/>
          <w:lang w:val="en-US"/>
        </w:rPr>
        <w:t xml:space="preserve"> &lt; .001, CFI = .964, TLI = .946, SRMR = .032, RMSEA = .078, 90% CI [.061, .095]. </w:t>
      </w:r>
    </w:p>
    <w:p>
      <w:pPr>
        <w:pStyle w:val="Normal"/>
        <w:numPr>
          <w:ilvl w:val="0"/>
          <w:numId w:val="1"/>
        </w:numPr>
        <w:spacing w:lineRule="auto" w:line="480"/>
        <w:rPr>
          <w:rFonts w:hint="eastAsia"/>
          <w:lang w:val="en-US"/>
        </w:rPr>
      </w:pPr>
      <w:r>
        <w:rPr>
          <w:rStyle w:val="Strong"/>
          <w:rFonts w:ascii="Times New Roman" w:hAnsi="Times New Roman"/>
          <w:b w:val="false"/>
          <w:bCs w:val="false"/>
          <w:color w:val="000000"/>
          <w:lang w:val="en-US"/>
        </w:rPr>
        <w:tab/>
        <w:t xml:space="preserve">All items loaded significantly on the intended factor (Table S4). Standardized factor loadings ranged from .47 to .83, suggesting that all items contributed meaningfully to the latent factor. The reverse-coded items showed somewhat weaker loadings than the remaining indicators. </w:t>
      </w:r>
    </w:p>
    <w:p>
      <w:pPr>
        <w:pStyle w:val="Normal"/>
        <w:numPr>
          <w:ilvl w:val="0"/>
          <w:numId w:val="1"/>
        </w:numPr>
        <w:spacing w:lineRule="auto" w:line="480"/>
        <w:rPr>
          <w:rFonts w:hint="eastAsia"/>
          <w:lang w:val="en-US"/>
        </w:rPr>
      </w:pPr>
      <w:bookmarkStart w:id="9" w:name="__RefHeading___Toc13012_2139732366"/>
      <w:bookmarkEnd w:id="9"/>
      <w:r>
        <w:rPr>
          <w:rStyle w:val="Strong"/>
          <w:rFonts w:ascii="Times New Roman" w:hAnsi="Times New Roman"/>
          <w:lang w:val="en-US"/>
        </w:rPr>
        <w:t xml:space="preserve">Table S4. </w:t>
      </w:r>
      <w:r>
        <w:rPr>
          <w:rStyle w:val="Strong"/>
          <w:rFonts w:ascii="Times New Roman" w:hAnsi="Times New Roman"/>
          <w:b w:val="false"/>
          <w:bCs w:val="false"/>
          <w:i/>
          <w:iCs/>
          <w:lang w:val="en-US"/>
        </w:rPr>
        <w:t>Unstandardized and standardized factor loadings for the one-factor CFA model of the  Romantic Partner Objectification Scale</w:t>
      </w:r>
    </w:p>
    <w:tbl>
      <w:tblPr>
        <w:tblW w:w="8451" w:type="dxa"/>
        <w:jc w:val="start"/>
        <w:tblInd w:w="28" w:type="dxa"/>
        <w:tblLayout w:type="fixed"/>
        <w:tblCellMar>
          <w:top w:w="28" w:type="dxa"/>
          <w:start w:w="28" w:type="dxa"/>
          <w:bottom w:w="28" w:type="dxa"/>
          <w:end w:w="28" w:type="dxa"/>
        </w:tblCellMar>
        <w:tblLook w:val="04a0" w:firstRow="1" w:noVBand="1" w:lastRow="0" w:firstColumn="1" w:lastColumn="0" w:noHBand="0"/>
      </w:tblPr>
      <w:tblGrid>
        <w:gridCol w:w="1880"/>
        <w:gridCol w:w="1283"/>
        <w:gridCol w:w="1283"/>
        <w:gridCol w:w="1282"/>
        <w:gridCol w:w="1440"/>
        <w:gridCol w:w="1283"/>
      </w:tblGrid>
      <w:tr>
        <w:trPr>
          <w:tblHeader w:val="true"/>
          <w:trHeight w:val="332" w:hRule="atLeast"/>
        </w:trPr>
        <w:tc>
          <w:tcPr>
            <w:tcW w:w="1880" w:type="dxa"/>
            <w:tcBorders>
              <w:top w:val="single" w:sz="2" w:space="0" w:color="000000"/>
              <w:bottom w:val="single" w:sz="2" w:space="0" w:color="000000"/>
            </w:tcBorders>
            <w:vAlign w:val="center"/>
          </w:tcPr>
          <w:p>
            <w:pPr>
              <w:pStyle w:val="Nagwektabeliuser"/>
              <w:numPr>
                <w:ilvl w:val="0"/>
                <w:numId w:val="1"/>
              </w:numPr>
              <w:spacing w:lineRule="auto" w:line="480"/>
              <w:rPr>
                <w:rFonts w:ascii="Times New Roman" w:hAnsi="Times New Roman"/>
              </w:rPr>
            </w:pPr>
            <w:r>
              <w:rPr>
                <w:rFonts w:ascii="Times New Roman" w:hAnsi="Times New Roman"/>
              </w:rPr>
              <w:t>Item</w:t>
            </w:r>
          </w:p>
        </w:tc>
        <w:tc>
          <w:tcPr>
            <w:tcW w:w="1283" w:type="dxa"/>
            <w:tcBorders>
              <w:top w:val="single" w:sz="2" w:space="0" w:color="000000"/>
              <w:bottom w:val="single" w:sz="2" w:space="0" w:color="000000"/>
            </w:tcBorders>
            <w:vAlign w:val="center"/>
          </w:tcPr>
          <w:p>
            <w:pPr>
              <w:pStyle w:val="Nagwektabeliuser"/>
              <w:numPr>
                <w:ilvl w:val="0"/>
                <w:numId w:val="1"/>
              </w:numPr>
              <w:spacing w:lineRule="auto" w:line="480"/>
              <w:rPr>
                <w:rFonts w:ascii="Times New Roman" w:hAnsi="Times New Roman"/>
              </w:rPr>
            </w:pPr>
            <w:r>
              <w:rPr>
                <w:rFonts w:ascii="Times New Roman" w:hAnsi="Times New Roman"/>
              </w:rPr>
              <w:t>B</w:t>
            </w:r>
          </w:p>
        </w:tc>
        <w:tc>
          <w:tcPr>
            <w:tcW w:w="1283" w:type="dxa"/>
            <w:tcBorders>
              <w:top w:val="single" w:sz="2" w:space="0" w:color="000000"/>
              <w:bottom w:val="single" w:sz="2" w:space="0" w:color="000000"/>
            </w:tcBorders>
            <w:vAlign w:val="center"/>
          </w:tcPr>
          <w:p>
            <w:pPr>
              <w:pStyle w:val="Nagwektabeliuser"/>
              <w:numPr>
                <w:ilvl w:val="0"/>
                <w:numId w:val="1"/>
              </w:numPr>
              <w:spacing w:lineRule="auto" w:line="480"/>
              <w:rPr>
                <w:rFonts w:ascii="Times New Roman" w:hAnsi="Times New Roman"/>
              </w:rPr>
            </w:pPr>
            <w:r>
              <w:rPr>
                <w:rFonts w:ascii="Times New Roman" w:hAnsi="Times New Roman"/>
              </w:rPr>
              <w:t>SE</w:t>
            </w:r>
          </w:p>
        </w:tc>
        <w:tc>
          <w:tcPr>
            <w:tcW w:w="1282" w:type="dxa"/>
            <w:tcBorders>
              <w:top w:val="single" w:sz="2" w:space="0" w:color="000000"/>
              <w:bottom w:val="single" w:sz="2" w:space="0" w:color="000000"/>
            </w:tcBorders>
            <w:vAlign w:val="center"/>
          </w:tcPr>
          <w:p>
            <w:pPr>
              <w:pStyle w:val="Nagwektabeliuser"/>
              <w:numPr>
                <w:ilvl w:val="0"/>
                <w:numId w:val="1"/>
              </w:numPr>
              <w:spacing w:lineRule="auto" w:line="480"/>
              <w:rPr>
                <w:rFonts w:ascii="Times New Roman" w:hAnsi="Times New Roman"/>
                <w:i/>
                <w:iCs/>
              </w:rPr>
            </w:pPr>
            <w:r>
              <w:rPr>
                <w:rFonts w:ascii="Times New Roman" w:hAnsi="Times New Roman"/>
                <w:i/>
                <w:iCs/>
              </w:rPr>
              <w:t>z</w:t>
            </w:r>
          </w:p>
        </w:tc>
        <w:tc>
          <w:tcPr>
            <w:tcW w:w="1440" w:type="dxa"/>
            <w:tcBorders>
              <w:top w:val="single" w:sz="2" w:space="0" w:color="000000"/>
              <w:bottom w:val="single" w:sz="2" w:space="0" w:color="000000"/>
            </w:tcBorders>
            <w:vAlign w:val="center"/>
          </w:tcPr>
          <w:p>
            <w:pPr>
              <w:pStyle w:val="Nagwektabeliuser"/>
              <w:numPr>
                <w:ilvl w:val="0"/>
                <w:numId w:val="1"/>
              </w:numPr>
              <w:spacing w:lineRule="auto" w:line="480"/>
              <w:rPr>
                <w:rFonts w:ascii="Times New Roman" w:hAnsi="Times New Roman"/>
                <w:i/>
                <w:iCs/>
              </w:rPr>
            </w:pPr>
            <w:r>
              <w:rPr>
                <w:rFonts w:ascii="Times New Roman" w:hAnsi="Times New Roman"/>
                <w:i/>
                <w:iCs/>
              </w:rPr>
              <w:t>p</w:t>
            </w:r>
          </w:p>
        </w:tc>
        <w:tc>
          <w:tcPr>
            <w:tcW w:w="1283" w:type="dxa"/>
            <w:tcBorders>
              <w:top w:val="single" w:sz="2" w:space="0" w:color="000000"/>
              <w:bottom w:val="single" w:sz="2" w:space="0" w:color="000000"/>
            </w:tcBorders>
            <w:vAlign w:val="center"/>
          </w:tcPr>
          <w:p>
            <w:pPr>
              <w:pStyle w:val="Nagwektabeliuser"/>
              <w:numPr>
                <w:ilvl w:val="0"/>
                <w:numId w:val="1"/>
              </w:numPr>
              <w:spacing w:lineRule="auto" w:line="480"/>
              <w:rPr>
                <w:rFonts w:ascii="Times New Roman" w:hAnsi="Times New Roman"/>
              </w:rPr>
            </w:pPr>
            <w:r>
              <w:rPr>
                <w:rFonts w:ascii="Times New Roman" w:hAnsi="Times New Roman"/>
              </w:rPr>
              <w:t>β</w:t>
            </w:r>
          </w:p>
        </w:tc>
      </w:tr>
      <w:tr>
        <w:trPr>
          <w:trHeight w:val="332" w:hRule="atLeast"/>
        </w:trPr>
        <w:tc>
          <w:tcPr>
            <w:tcW w:w="1880"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t>obj_1_r</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0.534</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0.053</w:t>
            </w:r>
          </w:p>
        </w:tc>
        <w:tc>
          <w:tcPr>
            <w:tcW w:w="1282"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10.10</w:t>
            </w:r>
          </w:p>
        </w:tc>
        <w:tc>
          <w:tcPr>
            <w:tcW w:w="1440"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&lt; .001</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0.471</w:t>
            </w:r>
          </w:p>
        </w:tc>
      </w:tr>
      <w:tr>
        <w:trPr>
          <w:trHeight w:val="332" w:hRule="atLeast"/>
        </w:trPr>
        <w:tc>
          <w:tcPr>
            <w:tcW w:w="1880"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t>obj_2</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1.285</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0.073</w:t>
            </w:r>
          </w:p>
        </w:tc>
        <w:tc>
          <w:tcPr>
            <w:tcW w:w="1282"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17.60</w:t>
            </w:r>
          </w:p>
        </w:tc>
        <w:tc>
          <w:tcPr>
            <w:tcW w:w="1440"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&lt; .001</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0.735</w:t>
            </w:r>
          </w:p>
        </w:tc>
      </w:tr>
      <w:tr>
        <w:trPr>
          <w:trHeight w:val="332" w:hRule="atLeast"/>
        </w:trPr>
        <w:tc>
          <w:tcPr>
            <w:tcW w:w="1880"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t>obj_3</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1.403</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0.074</w:t>
            </w:r>
          </w:p>
        </w:tc>
        <w:tc>
          <w:tcPr>
            <w:tcW w:w="1282"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19.00</w:t>
            </w:r>
          </w:p>
        </w:tc>
        <w:tc>
          <w:tcPr>
            <w:tcW w:w="1440"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&lt; .001</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0.776</w:t>
            </w:r>
          </w:p>
        </w:tc>
      </w:tr>
      <w:tr>
        <w:trPr>
          <w:trHeight w:val="332" w:hRule="atLeast"/>
        </w:trPr>
        <w:tc>
          <w:tcPr>
            <w:tcW w:w="1880"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t>obj_4_r</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0.667</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0.063</w:t>
            </w:r>
          </w:p>
        </w:tc>
        <w:tc>
          <w:tcPr>
            <w:tcW w:w="1282"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10.50</w:t>
            </w:r>
          </w:p>
        </w:tc>
        <w:tc>
          <w:tcPr>
            <w:tcW w:w="1440"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&lt; .001</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0.488</w:t>
            </w:r>
          </w:p>
        </w:tc>
      </w:tr>
      <w:tr>
        <w:trPr>
          <w:trHeight w:val="332" w:hRule="atLeast"/>
        </w:trPr>
        <w:tc>
          <w:tcPr>
            <w:tcW w:w="1880"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t>obj_5</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1.150</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0.086</w:t>
            </w:r>
          </w:p>
        </w:tc>
        <w:tc>
          <w:tcPr>
            <w:tcW w:w="1282"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13.30</w:t>
            </w:r>
          </w:p>
        </w:tc>
        <w:tc>
          <w:tcPr>
            <w:tcW w:w="1440"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&lt; .001</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0.593</w:t>
            </w:r>
          </w:p>
        </w:tc>
      </w:tr>
      <w:tr>
        <w:trPr>
          <w:trHeight w:val="332" w:hRule="atLeast"/>
        </w:trPr>
        <w:tc>
          <w:tcPr>
            <w:tcW w:w="1880"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t>obj_6</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1.389</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0.066</w:t>
            </w:r>
          </w:p>
        </w:tc>
        <w:tc>
          <w:tcPr>
            <w:tcW w:w="1282"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21.10</w:t>
            </w:r>
          </w:p>
        </w:tc>
        <w:tc>
          <w:tcPr>
            <w:tcW w:w="1440"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&lt; .001</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0.832</w:t>
            </w:r>
          </w:p>
        </w:tc>
      </w:tr>
      <w:tr>
        <w:trPr>
          <w:trHeight w:val="332" w:hRule="atLeast"/>
        </w:trPr>
        <w:tc>
          <w:tcPr>
            <w:tcW w:w="1880"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t>obj_7_r</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0.700</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0.062</w:t>
            </w:r>
          </w:p>
        </w:tc>
        <w:tc>
          <w:tcPr>
            <w:tcW w:w="1282"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11.30</w:t>
            </w:r>
          </w:p>
        </w:tc>
        <w:tc>
          <w:tcPr>
            <w:tcW w:w="1440"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&lt; .001</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0.516</w:t>
            </w:r>
          </w:p>
        </w:tc>
      </w:tr>
      <w:tr>
        <w:trPr>
          <w:trHeight w:val="332" w:hRule="atLeast"/>
        </w:trPr>
        <w:tc>
          <w:tcPr>
            <w:tcW w:w="1880" w:type="dxa"/>
            <w:tcBorders/>
            <w:vAlign w:val="center"/>
          </w:tcPr>
          <w:p>
            <w:pPr>
              <w:pStyle w:val="Zawartotabeliuser"/>
              <w:numPr>
                <w:ilvl w:val="0"/>
                <w:numId w:val="1"/>
              </w:numPr>
              <w:spacing w:lineRule="auto" w:line="480"/>
              <w:rPr>
                <w:rFonts w:ascii="Times New Roman" w:hAnsi="Times New Roman"/>
              </w:rPr>
            </w:pPr>
            <w:r>
              <w:rPr>
                <w:rFonts w:ascii="Times New Roman" w:hAnsi="Times New Roman"/>
              </w:rPr>
              <w:t>obj_8</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1.215</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0.070</w:t>
            </w:r>
          </w:p>
        </w:tc>
        <w:tc>
          <w:tcPr>
            <w:tcW w:w="1282"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17.40</w:t>
            </w:r>
          </w:p>
        </w:tc>
        <w:tc>
          <w:tcPr>
            <w:tcW w:w="1440"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&lt; .001</w:t>
            </w:r>
          </w:p>
        </w:tc>
        <w:tc>
          <w:tcPr>
            <w:tcW w:w="1283" w:type="dxa"/>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0.730</w:t>
            </w:r>
          </w:p>
        </w:tc>
      </w:tr>
      <w:tr>
        <w:trPr>
          <w:trHeight w:val="332" w:hRule="atLeast"/>
        </w:trPr>
        <w:tc>
          <w:tcPr>
            <w:tcW w:w="1880" w:type="dxa"/>
            <w:tcBorders>
              <w:bottom w:val="single" w:sz="2" w:space="0" w:color="000000"/>
            </w:tcBorders>
            <w:vAlign w:val="center"/>
          </w:tcPr>
          <w:p>
            <w:pPr>
              <w:pStyle w:val="Zawartotabeliuser"/>
              <w:numPr>
                <w:ilvl w:val="0"/>
                <w:numId w:val="1"/>
              </w:numPr>
              <w:spacing w:lineRule="auto" w:line="480"/>
              <w:rPr>
                <w:rFonts w:ascii="Times New Roman" w:hAnsi="Times New Roman"/>
              </w:rPr>
            </w:pPr>
            <w:r>
              <w:rPr>
                <w:rFonts w:ascii="Times New Roman" w:hAnsi="Times New Roman"/>
              </w:rPr>
              <w:t>obj_9</w:t>
            </w:r>
          </w:p>
        </w:tc>
        <w:tc>
          <w:tcPr>
            <w:tcW w:w="1283" w:type="dxa"/>
            <w:tcBorders>
              <w:bottom w:val="single" w:sz="2" w:space="0" w:color="000000"/>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1.226</w:t>
            </w:r>
          </w:p>
        </w:tc>
        <w:tc>
          <w:tcPr>
            <w:tcW w:w="1283" w:type="dxa"/>
            <w:tcBorders>
              <w:bottom w:val="single" w:sz="2" w:space="0" w:color="000000"/>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0.067</w:t>
            </w:r>
          </w:p>
        </w:tc>
        <w:tc>
          <w:tcPr>
            <w:tcW w:w="1282" w:type="dxa"/>
            <w:tcBorders>
              <w:bottom w:val="single" w:sz="2" w:space="0" w:color="000000"/>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18.30</w:t>
            </w:r>
          </w:p>
        </w:tc>
        <w:tc>
          <w:tcPr>
            <w:tcW w:w="1440" w:type="dxa"/>
            <w:tcBorders>
              <w:bottom w:val="single" w:sz="2" w:space="0" w:color="000000"/>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&lt; .001</w:t>
            </w:r>
          </w:p>
        </w:tc>
        <w:tc>
          <w:tcPr>
            <w:tcW w:w="1283" w:type="dxa"/>
            <w:tcBorders>
              <w:bottom w:val="single" w:sz="2" w:space="0" w:color="000000"/>
            </w:tcBorders>
            <w:vAlign w:val="center"/>
          </w:tcPr>
          <w:p>
            <w:pPr>
              <w:pStyle w:val="Zawartotabeliuser"/>
              <w:numPr>
                <w:ilvl w:val="0"/>
                <w:numId w:val="1"/>
              </w:numPr>
              <w:spacing w:lineRule="auto" w:line="480"/>
              <w:jc w:val="center"/>
              <w:rPr>
                <w:rFonts w:ascii="Times New Roman" w:hAnsi="Times New Roman"/>
              </w:rPr>
            </w:pPr>
            <w:r>
              <w:rPr>
                <w:rFonts w:ascii="Times New Roman" w:hAnsi="Times New Roman"/>
              </w:rPr>
              <w:t>0.757</w:t>
            </w:r>
          </w:p>
        </w:tc>
      </w:tr>
    </w:tbl>
    <w:p>
      <w:pPr>
        <w:pStyle w:val="Normal"/>
        <w:numPr>
          <w:ilvl w:val="0"/>
          <w:numId w:val="1"/>
        </w:numPr>
        <w:spacing w:lineRule="auto" w:line="480"/>
        <w:rPr>
          <w:rFonts w:ascii="Times New Roman" w:hAnsi="Times New Roman"/>
          <w:lang w:val="en-US"/>
        </w:rPr>
      </w:pPr>
      <w:r>
        <w:rPr>
          <w:rStyle w:val="Strong"/>
          <w:rFonts w:ascii="Times New Roman" w:hAnsi="Times New Roman"/>
          <w:b w:val="false"/>
          <w:bCs w:val="false"/>
          <w:i/>
          <w:iCs/>
          <w:lang w:val="en-US"/>
        </w:rPr>
        <w:t>Note.</w:t>
      </w:r>
      <w:r>
        <w:rPr>
          <w:rFonts w:ascii="Times New Roman" w:hAnsi="Times New Roman"/>
          <w:i/>
          <w:iCs/>
          <w:lang w:val="en-US"/>
        </w:rPr>
        <w:t xml:space="preserve"> </w:t>
      </w:r>
      <w:r>
        <w:rPr>
          <w:rFonts w:ascii="Times New Roman" w:hAnsi="Times New Roman"/>
          <w:lang w:val="en-US"/>
        </w:rPr>
        <w:t xml:space="preserve">Negatively worded items were reverse-coded prior to analysis. Residuals of the reverse-coded items were allowed to correlate to account for shared wording-related method variance. </w:t>
      </w:r>
    </w:p>
    <w:p>
      <w:pPr>
        <w:pStyle w:val="Heading2"/>
        <w:numPr>
          <w:ilvl w:val="0"/>
          <w:numId w:val="1"/>
        </w:numPr>
        <w:spacing w:before="0" w:after="0"/>
        <w:rPr>
          <w:rFonts w:hint="eastAsia"/>
          <w:lang w:val="en-US"/>
        </w:rPr>
      </w:pPr>
      <w:bookmarkStart w:id="10" w:name="__RefHeading___Toc17711_3872103911_kopia"/>
      <w:bookmarkStart w:id="11" w:name="_Toc232183044"/>
      <w:bookmarkEnd w:id="10"/>
      <w:r>
        <w:rPr>
          <w:rStyle w:val="Strong"/>
          <w:rFonts w:ascii="Times New Roman" w:hAnsi="Times New Roman"/>
          <w:b/>
          <w:bCs/>
          <w:color w:val="000000"/>
          <w:sz w:val="24"/>
          <w:szCs w:val="24"/>
          <w:u w:val="single"/>
          <w:lang w:val="en-US"/>
        </w:rPr>
        <w:t>1.4. Measurement invariance of Romantic Partner Objectification Scale across sex – current study</w:t>
      </w:r>
      <w:bookmarkEnd w:id="11"/>
    </w:p>
    <w:p>
      <w:pPr>
        <w:pStyle w:val="Normal"/>
        <w:numPr>
          <w:ilvl w:val="0"/>
          <w:numId w:val="1"/>
        </w:numPr>
        <w:spacing w:lineRule="auto" w:line="360"/>
        <w:rPr>
          <w:rFonts w:ascii="Times New Roman" w:hAnsi="Times New Roman"/>
          <w:lang w:val="en-US"/>
        </w:rPr>
      </w:pPr>
      <w:r>
        <w:rPr>
          <w:rFonts w:ascii="Times New Roman" w:hAnsi="Times New Roman"/>
          <w:lang w:val="en-US"/>
        </w:rPr>
      </w:r>
    </w:p>
    <w:p>
      <w:pPr>
        <w:pStyle w:val="BodyText"/>
        <w:numPr>
          <w:ilvl w:val="0"/>
          <w:numId w:val="1"/>
        </w:numPr>
        <w:spacing w:lineRule="auto" w:line="480" w:before="0" w:after="0"/>
        <w:rPr>
          <w:rFonts w:hint="eastAsia"/>
          <w:lang w:val="en-US"/>
        </w:rPr>
      </w:pPr>
      <w:r>
        <w:rPr>
          <w:rStyle w:val="Strong"/>
          <w:rFonts w:ascii="Times New Roman" w:hAnsi="Times New Roman"/>
          <w:b w:val="false"/>
          <w:bCs w:val="false"/>
          <w:color w:val="000000"/>
          <w:lang w:val="en-US"/>
        </w:rPr>
        <w:tab/>
        <w:t xml:space="preserve">Measurement invariance across sex was tested using multigroup CFA. Reverse-worded items were recoded prior to analysis, and residuals of the originally reverse-worded items were allowed to correlate in all models. The configural model showed acceptable fit, χ²(48) = 145.46, </w:t>
      </w:r>
      <w:r>
        <w:rPr>
          <w:rStyle w:val="Emphasis"/>
          <w:rFonts w:ascii="Times New Roman" w:hAnsi="Times New Roman"/>
          <w:color w:val="000000"/>
          <w:lang w:val="en-US"/>
        </w:rPr>
        <w:t>p</w:t>
      </w:r>
      <w:r>
        <w:rPr>
          <w:rStyle w:val="Strong"/>
          <w:rFonts w:ascii="Times New Roman" w:hAnsi="Times New Roman"/>
          <w:b w:val="false"/>
          <w:bCs w:val="false"/>
          <w:color w:val="000000"/>
          <w:lang w:val="en-US"/>
        </w:rPr>
        <w:t xml:space="preserve"> &lt; .001, CFI = .948, TLI = .922, SRMR = .039, RMSEA = .094, 90% CI [.077, .112]. Constraining factor loadings to equality across groups did not worsen model fit, χ²(56) = 152.99, </w:t>
      </w:r>
      <w:r>
        <w:rPr>
          <w:rStyle w:val="Emphasis"/>
          <w:rFonts w:ascii="Times New Roman" w:hAnsi="Times New Roman"/>
          <w:color w:val="000000"/>
          <w:lang w:val="en-US"/>
        </w:rPr>
        <w:t>p</w:t>
      </w:r>
      <w:r>
        <w:rPr>
          <w:rStyle w:val="Strong"/>
          <w:rFonts w:ascii="Times New Roman" w:hAnsi="Times New Roman"/>
          <w:b w:val="false"/>
          <w:bCs w:val="false"/>
          <w:color w:val="000000"/>
          <w:lang w:val="en-US"/>
        </w:rPr>
        <w:t xml:space="preserve"> &lt; .001, CFI = .948, TLI = .934, SRMR = .048, RMSEA = .087, and the change in CFI was negligible (ΔCFI = .000). Adding equality constraints on item intercepts resulted in a statistically significant chi-square difference test, Δχ²(8) = 16.01, </w:t>
      </w:r>
      <w:r>
        <w:rPr>
          <w:rStyle w:val="Emphasis"/>
          <w:rFonts w:ascii="Times New Roman" w:hAnsi="Times New Roman"/>
          <w:color w:val="000000"/>
          <w:lang w:val="en-US"/>
        </w:rPr>
        <w:t>p</w:t>
      </w:r>
      <w:r>
        <w:rPr>
          <w:rStyle w:val="Strong"/>
          <w:rFonts w:ascii="Times New Roman" w:hAnsi="Times New Roman"/>
          <w:b w:val="false"/>
          <w:bCs w:val="false"/>
          <w:color w:val="000000"/>
          <w:lang w:val="en-US"/>
        </w:rPr>
        <w:t xml:space="preserve"> = .042, but the decrease in CFI remained below the recommended cutoff (ΔCFI = .004), supporting scalar invariance. Constraining residual variances to equality did not meaningfully worsen fit, χ²(73) = 181.41, </w:t>
      </w:r>
      <w:r>
        <w:rPr>
          <w:rStyle w:val="Emphasis"/>
          <w:rFonts w:ascii="Times New Roman" w:hAnsi="Times New Roman"/>
          <w:color w:val="000000"/>
          <w:lang w:val="en-US"/>
        </w:rPr>
        <w:t>p</w:t>
      </w:r>
      <w:r>
        <w:rPr>
          <w:rStyle w:val="Strong"/>
          <w:rFonts w:ascii="Times New Roman" w:hAnsi="Times New Roman"/>
          <w:b w:val="false"/>
          <w:bCs w:val="false"/>
          <w:color w:val="000000"/>
          <w:lang w:val="en-US"/>
        </w:rPr>
        <w:t xml:space="preserve"> &lt; .001, CFI = .942, TLI = .943, SRMR = .053, RMSEA = .080, ΔCFI = .002. Overall, the results supported configural, metric, scalar, and residual invariance across sex. </w:t>
      </w:r>
    </w:p>
    <w:p>
      <w:pPr>
        <w:pStyle w:val="Heading1"/>
        <w:numPr>
          <w:ilvl w:val="0"/>
          <w:numId w:val="0"/>
        </w:numPr>
        <w:spacing w:lineRule="auto" w:line="480" w:before="0" w:after="0"/>
        <w:ind w:hanging="0" w:start="0"/>
        <w:rPr>
          <w:rStyle w:val="Strong"/>
          <w:rFonts w:ascii="Times New Roman" w:hAnsi="Times New Roman"/>
          <w:color w:val="000000"/>
          <w:sz w:val="24"/>
          <w:szCs w:val="24"/>
          <w:u w:val="single"/>
          <w:lang w:val="en-US"/>
        </w:rPr>
      </w:pPr>
      <w:r>
        <w:rPr>
          <w:rFonts w:ascii="Times New Roman" w:hAnsi="Times New Roman"/>
          <w:color w:val="000000"/>
          <w:sz w:val="24"/>
          <w:szCs w:val="24"/>
          <w:u w:val="single"/>
          <w:lang w:val="en-US"/>
        </w:rPr>
      </w:r>
      <w:r>
        <w:br w:type="page"/>
      </w:r>
    </w:p>
    <w:p>
      <w:pPr>
        <w:pStyle w:val="Heading1"/>
        <w:numPr>
          <w:ilvl w:val="0"/>
          <w:numId w:val="1"/>
        </w:numPr>
        <w:spacing w:lineRule="auto" w:line="360" w:before="0" w:after="0"/>
        <w:rPr>
          <w:lang w:val="en-US"/>
        </w:rPr>
      </w:pPr>
      <w:bookmarkStart w:id="12" w:name="__RefHeading___Toc17701_3872103911"/>
      <w:bookmarkStart w:id="13" w:name="_Toc232183045"/>
      <w:bookmarkEnd w:id="12"/>
      <w:r>
        <w:rPr>
          <w:rStyle w:val="Strong"/>
          <w:rFonts w:ascii="Times New Roman" w:hAnsi="Times New Roman"/>
          <w:color w:val="000000"/>
          <w:sz w:val="24"/>
          <w:szCs w:val="24"/>
          <w:u w:val="single"/>
          <w:lang w:val="en-US"/>
        </w:rPr>
        <w:t xml:space="preserve">2. Actor-Patner Interdependece Models </w:t>
      </w:r>
      <w:r>
        <w:rPr>
          <w:rFonts w:ascii="Times New Roman" w:hAnsi="Times New Roman"/>
          <w:b/>
          <w:bCs/>
          <w:color w:val="000000"/>
          <w:sz w:val="24"/>
          <w:szCs w:val="24"/>
          <w:u w:val="single"/>
          <w:lang w:val="en-US"/>
        </w:rPr>
        <w:t>Analytical plan</w:t>
      </w:r>
      <w:bookmarkEnd w:id="13"/>
    </w:p>
    <w:p>
      <w:pPr>
        <w:pStyle w:val="Normal"/>
        <w:spacing w:lineRule="auto" w:line="480"/>
        <w:rPr>
          <w:rFonts w:ascii="Times New Roman" w:hAnsi="Times New Roman"/>
          <w:color w:val="000000"/>
          <w:lang w:val="en-US"/>
        </w:rPr>
      </w:pPr>
      <w:r>
        <w:rPr>
          <w:rFonts w:ascii="Times New Roman" w:hAnsi="Times New Roman"/>
          <w:color w:val="000000"/>
          <w:lang w:val="en-US"/>
        </w:rPr>
      </w:r>
    </w:p>
    <w:p>
      <w:pPr>
        <w:pStyle w:val="Normal"/>
        <w:spacing w:lineRule="auto" w:line="480"/>
        <w:rPr>
          <w:rFonts w:ascii="Times New Roman" w:hAnsi="Times New Roman"/>
          <w:lang w:val="en-US"/>
        </w:rPr>
      </w:pPr>
      <w:r>
        <w:rPr>
          <w:rFonts w:ascii="Times New Roman" w:hAnsi="Times New Roman"/>
          <w:color w:val="000000"/>
          <w:lang w:val="en-US"/>
        </w:rPr>
        <w:tab/>
        <w:t xml:space="preserve">To address our research questions, we fit four Actor-Partner Interdependence Models (Kenny et al., 2006) using structural equation modeling (SEM). All APIM calculations were performed in R (version 3.5.1) using the </w:t>
      </w:r>
      <w:r>
        <w:rPr>
          <w:rFonts w:ascii="Times New Roman" w:hAnsi="Times New Roman"/>
          <w:i/>
          <w:iCs/>
          <w:color w:val="000000"/>
          <w:lang w:val="en-US"/>
        </w:rPr>
        <w:t>lavaan</w:t>
      </w:r>
      <w:r>
        <w:rPr>
          <w:rFonts w:ascii="Times New Roman" w:hAnsi="Times New Roman"/>
          <w:color w:val="000000"/>
          <w:lang w:val="en-US"/>
        </w:rPr>
        <w:t xml:space="preserve"> package (Rosseel, 2012). Weighted Least Squares Mean and Variance adjusted (WLSMV) was used to estimate the models due to the non-normality of data. Dyad members were treated as distinguishable since partners were heterosexual. </w:t>
      </w:r>
    </w:p>
    <w:p>
      <w:pPr>
        <w:pStyle w:val="Normal"/>
        <w:spacing w:lineRule="auto" w:line="480"/>
        <w:rPr>
          <w:rFonts w:ascii="Times New Roman" w:hAnsi="Times New Roman"/>
          <w:lang w:val="en-US"/>
        </w:rPr>
      </w:pPr>
      <w:r>
        <w:rPr>
          <w:rFonts w:ascii="Times New Roman" w:hAnsi="Times New Roman"/>
          <w:color w:val="000000"/>
          <w:lang w:val="en-US"/>
        </w:rPr>
        <w:tab/>
        <w:t xml:space="preserve">The analytical procedure for each APIM analysis followed three steps (Fitzpatrick et al., 2016). First, we set up a saturated model and assessed its model fit indices. Next, we added the </w:t>
      </w:r>
      <w:r>
        <w:rPr>
          <w:rFonts w:ascii="Times New Roman" w:hAnsi="Times New Roman"/>
          <w:i/>
          <w:iCs/>
          <w:color w:val="000000"/>
          <w:lang w:val="en-US"/>
        </w:rPr>
        <w:t>k</w:t>
      </w:r>
      <w:r>
        <w:rPr>
          <w:rFonts w:ascii="Times New Roman" w:hAnsi="Times New Roman"/>
          <w:color w:val="000000"/>
          <w:lang w:val="en-US"/>
        </w:rPr>
        <w:t xml:space="preserve"> parameters to estimate dyadic patterns (</w:t>
      </w:r>
      <w:r>
        <w:rPr>
          <w:rFonts w:ascii="Times New Roman" w:hAnsi="Times New Roman"/>
          <w:i/>
          <w:iCs/>
          <w:color w:val="000000"/>
          <w:lang w:val="en-US"/>
        </w:rPr>
        <w:t>k</w:t>
      </w:r>
      <w:r>
        <w:rPr>
          <w:rFonts w:ascii="Times New Roman" w:hAnsi="Times New Roman"/>
          <w:i/>
          <w:iCs/>
          <w:color w:val="000000"/>
          <w:vertAlign w:val="subscript"/>
          <w:lang w:val="en-US"/>
        </w:rPr>
        <w:t>1</w:t>
      </w:r>
      <w:r>
        <w:rPr>
          <w:rFonts w:ascii="Times New Roman" w:hAnsi="Times New Roman"/>
          <w:color w:val="000000"/>
          <w:lang w:val="en-US"/>
        </w:rPr>
        <w:t xml:space="preserve"> = </w:t>
      </w:r>
      <w:r>
        <w:rPr>
          <w:rFonts w:ascii="Times New Roman" w:hAnsi="Times New Roman"/>
          <w:i/>
          <w:iCs/>
          <w:color w:val="000000"/>
          <w:lang w:val="en-US"/>
        </w:rPr>
        <w:t>p</w:t>
      </w:r>
      <w:r>
        <w:rPr>
          <w:rFonts w:ascii="Times New Roman" w:hAnsi="Times New Roman"/>
          <w:i/>
          <w:iCs/>
          <w:color w:val="000000"/>
          <w:vertAlign w:val="subscript"/>
          <w:lang w:val="en-US"/>
        </w:rPr>
        <w:t>12</w:t>
      </w:r>
      <w:r>
        <w:rPr>
          <w:rFonts w:ascii="Times New Roman" w:hAnsi="Times New Roman"/>
          <w:color w:val="000000"/>
          <w:lang w:val="en-US"/>
        </w:rPr>
        <w:t>/</w:t>
      </w:r>
      <w:r>
        <w:rPr>
          <w:rFonts w:ascii="Times New Roman" w:hAnsi="Times New Roman"/>
          <w:i/>
          <w:iCs/>
          <w:color w:val="000000"/>
          <w:lang w:val="en-US"/>
        </w:rPr>
        <w:t>a</w:t>
      </w:r>
      <w:r>
        <w:rPr>
          <w:rFonts w:ascii="Times New Roman" w:hAnsi="Times New Roman"/>
          <w:i/>
          <w:iCs/>
          <w:color w:val="000000"/>
          <w:vertAlign w:val="subscript"/>
          <w:lang w:val="en-US"/>
        </w:rPr>
        <w:t>1</w:t>
      </w:r>
      <w:r>
        <w:rPr>
          <w:rFonts w:ascii="Times New Roman" w:hAnsi="Times New Roman"/>
          <w:color w:val="000000"/>
          <w:lang w:val="en-US"/>
        </w:rPr>
        <w:t xml:space="preserve"> for the men and </w:t>
      </w:r>
      <w:r>
        <w:rPr>
          <w:rFonts w:ascii="Times New Roman" w:hAnsi="Times New Roman"/>
          <w:i/>
          <w:iCs/>
          <w:color w:val="000000"/>
          <w:lang w:val="en-US"/>
        </w:rPr>
        <w:t>k</w:t>
      </w:r>
      <w:r>
        <w:rPr>
          <w:rFonts w:ascii="Times New Roman" w:hAnsi="Times New Roman"/>
          <w:i/>
          <w:iCs/>
          <w:color w:val="000000"/>
          <w:vertAlign w:val="subscript"/>
          <w:lang w:val="en-US"/>
        </w:rPr>
        <w:t>2</w:t>
      </w:r>
      <w:r>
        <w:rPr>
          <w:rFonts w:ascii="Times New Roman" w:hAnsi="Times New Roman"/>
          <w:color w:val="000000"/>
          <w:lang w:val="en-US"/>
        </w:rPr>
        <w:t xml:space="preserve"> = </w:t>
      </w:r>
      <w:r>
        <w:rPr>
          <w:rFonts w:ascii="Times New Roman" w:hAnsi="Times New Roman"/>
          <w:i/>
          <w:iCs/>
          <w:color w:val="000000"/>
          <w:lang w:val="en-US"/>
        </w:rPr>
        <w:t>p</w:t>
      </w:r>
      <w:r>
        <w:rPr>
          <w:rFonts w:ascii="Times New Roman" w:hAnsi="Times New Roman"/>
          <w:i/>
          <w:iCs/>
          <w:color w:val="000000"/>
          <w:vertAlign w:val="subscript"/>
          <w:lang w:val="en-US"/>
        </w:rPr>
        <w:t>21</w:t>
      </w:r>
      <w:r>
        <w:rPr>
          <w:rFonts w:ascii="Times New Roman" w:hAnsi="Times New Roman"/>
          <w:color w:val="000000"/>
          <w:lang w:val="en-US"/>
        </w:rPr>
        <w:t>/</w:t>
      </w:r>
      <w:r>
        <w:rPr>
          <w:rFonts w:ascii="Times New Roman" w:hAnsi="Times New Roman"/>
          <w:i/>
          <w:iCs/>
          <w:color w:val="000000"/>
          <w:lang w:val="en-US"/>
        </w:rPr>
        <w:t>a</w:t>
      </w:r>
      <w:r>
        <w:rPr>
          <w:rFonts w:ascii="Times New Roman" w:hAnsi="Times New Roman"/>
          <w:i/>
          <w:iCs/>
          <w:color w:val="000000"/>
          <w:vertAlign w:val="subscript"/>
          <w:lang w:val="en-US"/>
        </w:rPr>
        <w:t>2</w:t>
      </w:r>
      <w:r>
        <w:rPr>
          <w:rFonts w:ascii="Times New Roman" w:hAnsi="Times New Roman"/>
          <w:color w:val="000000"/>
          <w:lang w:val="en-US"/>
        </w:rPr>
        <w:t xml:space="preserve"> for the women, where </w:t>
      </w:r>
      <w:r>
        <w:rPr>
          <w:rFonts w:ascii="Times New Roman" w:hAnsi="Times New Roman"/>
          <w:i/>
          <w:iCs/>
          <w:color w:val="000000"/>
          <w:lang w:val="en-US"/>
        </w:rPr>
        <w:t>a</w:t>
      </w:r>
      <w:r>
        <w:rPr>
          <w:rFonts w:ascii="Times New Roman" w:hAnsi="Times New Roman"/>
          <w:color w:val="000000"/>
          <w:lang w:val="en-US"/>
        </w:rPr>
        <w:t xml:space="preserve"> represents the actor effect and </w:t>
      </w:r>
      <w:r>
        <w:rPr>
          <w:rFonts w:ascii="Times New Roman" w:hAnsi="Times New Roman"/>
          <w:i/>
          <w:iCs/>
          <w:color w:val="000000"/>
          <w:lang w:val="en-US"/>
        </w:rPr>
        <w:t>p</w:t>
      </w:r>
      <w:r>
        <w:rPr>
          <w:rFonts w:ascii="Times New Roman" w:hAnsi="Times New Roman"/>
          <w:color w:val="000000"/>
          <w:lang w:val="en-US"/>
        </w:rPr>
        <w:t xml:space="preserve"> represents the partner effect). Finally using bootstrap with 5000 iterations we estimated whether </w:t>
      </w:r>
      <w:r>
        <w:rPr>
          <w:rFonts w:ascii="Times New Roman" w:hAnsi="Times New Roman"/>
          <w:i/>
          <w:iCs/>
          <w:color w:val="000000"/>
          <w:lang w:val="en-US"/>
        </w:rPr>
        <w:t>k</w:t>
      </w:r>
      <w:r>
        <w:rPr>
          <w:rFonts w:ascii="Times New Roman" w:hAnsi="Times New Roman"/>
          <w:color w:val="000000"/>
          <w:lang w:val="en-US"/>
        </w:rPr>
        <w:t xml:space="preserve">’s confidence intervals contain 0, 1 or −1, and subsequently we modified the model according to a mathematical interpretation of the </w:t>
      </w:r>
      <w:r>
        <w:rPr>
          <w:rFonts w:ascii="Times New Roman" w:hAnsi="Times New Roman"/>
          <w:i/>
          <w:iCs/>
          <w:color w:val="000000"/>
          <w:lang w:val="en-US"/>
        </w:rPr>
        <w:t>k</w:t>
      </w:r>
      <w:r>
        <w:rPr>
          <w:rFonts w:ascii="Times New Roman" w:hAnsi="Times New Roman"/>
          <w:color w:val="000000"/>
          <w:lang w:val="en-US"/>
        </w:rPr>
        <w:t xml:space="preserve"> parameter’s value. When the confidence interval for</w:t>
      </w:r>
      <w:r>
        <w:rPr>
          <w:rFonts w:ascii="Times New Roman" w:hAnsi="Times New Roman"/>
          <w:i/>
          <w:iCs/>
          <w:color w:val="000000"/>
          <w:lang w:val="en-US"/>
        </w:rPr>
        <w:t xml:space="preserve"> k </w:t>
      </w:r>
      <w:r>
        <w:rPr>
          <w:rFonts w:ascii="Times New Roman" w:hAnsi="Times New Roman"/>
          <w:color w:val="000000"/>
          <w:lang w:val="en-US"/>
        </w:rPr>
        <w:t xml:space="preserve">includes the value 0 but not 1, </w:t>
      </w:r>
      <w:r>
        <w:rPr>
          <w:rFonts w:ascii="Times New Roman" w:hAnsi="Times New Roman"/>
          <w:lang w:val="en-US"/>
        </w:rPr>
        <w:t>this suggests an actor-only pattern, indicating that the partner effect is not statistically significant relative to the actor effect</w:t>
      </w:r>
      <w:r>
        <w:rPr>
          <w:rFonts w:ascii="Times New Roman" w:hAnsi="Times New Roman"/>
          <w:color w:val="000000"/>
          <w:lang w:val="en-US"/>
        </w:rPr>
        <w:t xml:space="preserve">. Conversely, if the confidence interval for </w:t>
      </w:r>
      <w:r>
        <w:rPr>
          <w:rFonts w:ascii="Times New Roman" w:hAnsi="Times New Roman"/>
          <w:i/>
          <w:iCs/>
          <w:color w:val="000000"/>
          <w:lang w:val="en-US"/>
        </w:rPr>
        <w:t>k</w:t>
      </w:r>
      <w:r>
        <w:rPr>
          <w:rFonts w:ascii="Times New Roman" w:hAnsi="Times New Roman"/>
          <w:color w:val="000000"/>
          <w:lang w:val="en-US"/>
        </w:rPr>
        <w:t xml:space="preserve"> includes the value 1 but not 0, it indicates there is no statistically significant difference between the actor effect and the partner effect. It is also possible for the confidence interval to include both the value 0 and the value 1. In this case, with the assumed probability for the confidence interval, the difference between the actor effect and the partner effect cannot be determined, as the confidence interval is consistent with both an actor-only and a couple-oriented pattern. Fitzpatrick et al. (2016) recommend that if the absolute standardized value of parameter </w:t>
      </w:r>
      <w:r>
        <w:rPr>
          <w:rFonts w:ascii="Times New Roman" w:hAnsi="Times New Roman"/>
          <w:i/>
          <w:iCs/>
          <w:color w:val="000000"/>
          <w:lang w:val="en-US"/>
        </w:rPr>
        <w:t>a</w:t>
      </w:r>
      <w:r>
        <w:rPr>
          <w:rFonts w:ascii="Times New Roman" w:hAnsi="Times New Roman"/>
          <w:color w:val="000000"/>
          <w:lang w:val="en-US"/>
        </w:rPr>
        <w:t xml:space="preserve"> does not exceed .10, the </w:t>
      </w:r>
      <w:r>
        <w:rPr>
          <w:rFonts w:ascii="Times New Roman" w:hAnsi="Times New Roman"/>
          <w:i/>
          <w:iCs/>
          <w:color w:val="000000"/>
          <w:lang w:val="en-US"/>
        </w:rPr>
        <w:t xml:space="preserve">k </w:t>
      </w:r>
      <w:r>
        <w:rPr>
          <w:rFonts w:ascii="Times New Roman" w:hAnsi="Times New Roman"/>
          <w:color w:val="000000"/>
          <w:lang w:val="en-US"/>
        </w:rPr>
        <w:t xml:space="preserve">parameter should not be interpreted. </w:t>
      </w:r>
    </w:p>
    <w:p>
      <w:pPr>
        <w:pStyle w:val="Normal"/>
        <w:spacing w:lineRule="auto" w:line="480"/>
        <w:rPr>
          <w:rFonts w:ascii="Times New Roman" w:hAnsi="Times New Roman"/>
          <w:lang w:val="en-US"/>
        </w:rPr>
      </w:pPr>
      <w:r>
        <w:rPr>
          <w:rFonts w:ascii="Times New Roman" w:hAnsi="Times New Roman"/>
          <w:color w:val="000000"/>
          <w:lang w:val="en-US"/>
        </w:rPr>
        <w:tab/>
        <w:t xml:space="preserve">In the next step, based on the interpretation of the </w:t>
      </w:r>
      <w:r>
        <w:rPr>
          <w:rFonts w:ascii="Times New Roman" w:hAnsi="Times New Roman"/>
          <w:i/>
          <w:iCs/>
          <w:color w:val="000000"/>
          <w:lang w:val="en-US"/>
        </w:rPr>
        <w:t>k</w:t>
      </w:r>
      <w:r>
        <w:rPr>
          <w:rFonts w:ascii="Times New Roman" w:hAnsi="Times New Roman"/>
          <w:color w:val="000000"/>
          <w:lang w:val="en-US"/>
        </w:rPr>
        <w:t xml:space="preserve"> parameters, modifications are introduced to the model to allow for the release of degrees of freedom and to yield a more parsimonious model. If the confidence interval for parameter </w:t>
      </w:r>
      <w:r>
        <w:rPr>
          <w:rFonts w:ascii="Times New Roman" w:hAnsi="Times New Roman"/>
          <w:i/>
          <w:iCs/>
          <w:color w:val="000000"/>
          <w:lang w:val="en-US"/>
        </w:rPr>
        <w:t>k</w:t>
      </w:r>
      <w:r>
        <w:rPr>
          <w:rFonts w:ascii="Times New Roman" w:hAnsi="Times New Roman"/>
          <w:color w:val="000000"/>
          <w:lang w:val="en-US"/>
        </w:rPr>
        <w:t xml:space="preserve"> indicates no evidence for a statistically significant difference between the actor effect and the partner effect, the modified model assumes they are equal. If the confidence intervals for the k parameters were not consistent with the key interpretable values (0, 1, or −1), further model modifications were treated as separate model-comparison decisions rather than as direct consequences of the</w:t>
      </w:r>
      <w:r>
        <w:rPr>
          <w:rFonts w:ascii="Times New Roman" w:hAnsi="Times New Roman"/>
          <w:i/>
          <w:iCs/>
          <w:color w:val="000000"/>
          <w:lang w:val="en-US"/>
        </w:rPr>
        <w:t xml:space="preserve"> k</w:t>
      </w:r>
      <w:r>
        <w:rPr>
          <w:rFonts w:ascii="Times New Roman" w:hAnsi="Times New Roman"/>
          <w:color w:val="000000"/>
          <w:lang w:val="en-US"/>
        </w:rPr>
        <w:t xml:space="preserve"> parameter interpretation. </w:t>
      </w:r>
    </w:p>
    <w:p>
      <w:pPr>
        <w:pStyle w:val="Normal"/>
        <w:spacing w:lineRule="auto" w:line="480"/>
        <w:rPr>
          <w:rFonts w:ascii="Times New Roman" w:hAnsi="Times New Roman"/>
          <w:lang w:val="en-US"/>
        </w:rPr>
      </w:pPr>
      <w:r>
        <w:rPr>
          <w:rFonts w:ascii="Times New Roman" w:hAnsi="Times New Roman"/>
          <w:color w:val="000000"/>
          <w:lang w:val="en-US"/>
        </w:rPr>
        <w:tab/>
        <w:t xml:space="preserve">Importantly, equality constraints were treated as a parsimonious modeling decision due to lack of evidence for difference rather than as evidence that the corresponding parameters were identical in the population. Specifically, we examined whether (a) both the actor and partner effect parameters could be constrained to equality across women and men, (b) only the actor effects could be constrained to equality, or (c) only the partner effects could be constrained to equality. Then, we compared the model fit with the saturated model. Constrained models were retained only when they did not show a significant deterioration in fit compared with the saturated model. </w:t>
      </w:r>
    </w:p>
    <w:p>
      <w:pPr>
        <w:pStyle w:val="Normal"/>
        <w:spacing w:lineRule="auto" w:line="480"/>
        <w:rPr>
          <w:rFonts w:ascii="Times New Roman" w:hAnsi="Times New Roman"/>
          <w:b/>
          <w:bCs/>
          <w:color w:val="000000"/>
          <w:lang w:val="en-US"/>
        </w:rPr>
      </w:pPr>
      <w:r>
        <w:rPr>
          <w:rFonts w:ascii="Times New Roman" w:hAnsi="Times New Roman"/>
          <w:b/>
          <w:bCs/>
          <w:color w:val="000000"/>
          <w:lang w:val="en-US"/>
        </w:rPr>
      </w:r>
      <w:r>
        <w:br w:type="page"/>
      </w:r>
    </w:p>
    <w:p>
      <w:pPr>
        <w:pStyle w:val="Heading1"/>
        <w:numPr>
          <w:ilvl w:val="0"/>
          <w:numId w:val="1"/>
        </w:numPr>
        <w:spacing w:lineRule="auto" w:line="480" w:before="0" w:after="0"/>
        <w:rPr>
          <w:rFonts w:ascii="Times New Roman" w:hAnsi="Times New Roman"/>
          <w:lang w:val="en-US"/>
        </w:rPr>
      </w:pPr>
      <w:bookmarkStart w:id="14" w:name="__RefHeading___Toc17703_3872103911"/>
      <w:bookmarkStart w:id="15" w:name="_Toc232183046"/>
      <w:bookmarkEnd w:id="14"/>
      <w:r>
        <w:rPr>
          <w:rFonts w:ascii="Times New Roman" w:hAnsi="Times New Roman"/>
          <w:b/>
          <w:bCs/>
          <w:color w:val="000000"/>
          <w:sz w:val="24"/>
          <w:szCs w:val="24"/>
          <w:u w:val="single"/>
          <w:lang w:val="en-US"/>
        </w:rPr>
        <w:t>3. Actor-Partner Interdependence Models – expanded description</w:t>
      </w:r>
      <w:bookmarkEnd w:id="15"/>
    </w:p>
    <w:p>
      <w:pPr>
        <w:pStyle w:val="Normal"/>
        <w:spacing w:lineRule="auto" w:line="480"/>
        <w:rPr>
          <w:rFonts w:ascii="Times New Roman" w:hAnsi="Times New Roman"/>
          <w:lang w:val="en-US"/>
        </w:rPr>
      </w:pPr>
      <w:r>
        <w:rPr>
          <w:rFonts w:ascii="Times New Roman" w:hAnsi="Times New Roman"/>
          <w:i/>
          <w:iCs/>
          <w:color w:val="000000"/>
          <w:lang w:val="en-US"/>
        </w:rPr>
        <w:tab/>
        <w:t>Relationship Satisfaction APIM.</w:t>
      </w:r>
      <w:r>
        <w:rPr>
          <w:rFonts w:ascii="Times New Roman" w:hAnsi="Times New Roman"/>
          <w:color w:val="000000"/>
          <w:lang w:val="en-US"/>
        </w:rPr>
        <w:t xml:space="preserve"> The first APIM model examined the interdependence between objectification and partners’ relationship satisfaction. After computing the saturated model, the values and confidence intervals for the parameters </w:t>
      </w:r>
      <w:r>
        <w:rPr>
          <w:rFonts w:ascii="Times New Roman" w:hAnsi="Times New Roman"/>
          <w:i/>
          <w:iCs/>
          <w:color w:val="000000"/>
          <w:lang w:val="en-US"/>
        </w:rPr>
        <w:t>k</w:t>
      </w:r>
      <w:r>
        <w:rPr>
          <w:rFonts w:ascii="Times New Roman" w:hAnsi="Times New Roman"/>
          <w:color w:val="000000"/>
          <w:lang w:val="en-US"/>
        </w:rPr>
        <w:t xml:space="preserve"> were estimated (</w:t>
      </w:r>
      <w:r>
        <w:rPr>
          <w:rFonts w:ascii="Times New Roman" w:hAnsi="Times New Roman"/>
          <w:i/>
          <w:iCs/>
          <w:color w:val="000000"/>
          <w:lang w:val="en-US"/>
        </w:rPr>
        <w:t>k</w:t>
      </w:r>
      <w:r>
        <w:rPr>
          <w:rFonts w:ascii="Times New Roman" w:hAnsi="Times New Roman"/>
          <w:i/>
          <w:iCs/>
          <w:color w:val="000000"/>
          <w:vertAlign w:val="subscript"/>
          <w:lang w:val="en-US"/>
        </w:rPr>
        <w:t>1</w:t>
      </w:r>
      <w:r>
        <w:rPr>
          <w:rFonts w:ascii="Times New Roman" w:hAnsi="Times New Roman"/>
          <w:color w:val="000000"/>
          <w:lang w:val="en-US"/>
        </w:rPr>
        <w:t xml:space="preserve"> = 1.03, 95% CI: [0.19; 3.93]; </w:t>
      </w:r>
      <w:r>
        <w:rPr>
          <w:rFonts w:ascii="Times New Roman" w:hAnsi="Times New Roman"/>
          <w:i/>
          <w:iCs/>
          <w:color w:val="000000"/>
          <w:lang w:val="en-US"/>
        </w:rPr>
        <w:t>k</w:t>
      </w:r>
      <w:r>
        <w:rPr>
          <w:rFonts w:ascii="Times New Roman" w:hAnsi="Times New Roman"/>
          <w:i/>
          <w:iCs/>
          <w:color w:val="000000"/>
          <w:vertAlign w:val="subscript"/>
          <w:lang w:val="en-US"/>
        </w:rPr>
        <w:t>2</w:t>
      </w:r>
      <w:r>
        <w:rPr>
          <w:rFonts w:ascii="Times New Roman" w:hAnsi="Times New Roman"/>
          <w:color w:val="000000"/>
          <w:lang w:val="en-US"/>
        </w:rPr>
        <w:t xml:space="preserve"> = 4.97, 95% CI: [-46.55; 60.65]. For </w:t>
      </w:r>
      <w:r>
        <w:rPr>
          <w:rFonts w:ascii="Times New Roman" w:hAnsi="Times New Roman"/>
          <w:i/>
          <w:iCs/>
          <w:color w:val="000000"/>
          <w:lang w:val="en-US"/>
        </w:rPr>
        <w:t>k</w:t>
      </w:r>
      <w:r>
        <w:rPr>
          <w:rFonts w:ascii="Times New Roman" w:hAnsi="Times New Roman"/>
          <w:i/>
          <w:iCs/>
          <w:color w:val="000000"/>
          <w:vertAlign w:val="subscript"/>
          <w:lang w:val="en-US"/>
        </w:rPr>
        <w:t>1</w:t>
      </w:r>
      <w:r>
        <w:rPr>
          <w:rFonts w:ascii="Times New Roman" w:hAnsi="Times New Roman"/>
          <w:color w:val="000000"/>
          <w:lang w:val="en-US"/>
        </w:rPr>
        <w:t xml:space="preserve">, the confidence interval contained the value of 1, suggesting lack of a statistically significant difference between the magnitude of the actor effect for men and the partner effect from men to women. The confidence interval for </w:t>
      </w:r>
      <w:r>
        <w:rPr>
          <w:rFonts w:ascii="Times New Roman" w:hAnsi="Times New Roman"/>
          <w:i/>
          <w:iCs/>
          <w:color w:val="000000"/>
          <w:lang w:val="en-US"/>
        </w:rPr>
        <w:t>k</w:t>
      </w:r>
      <w:r>
        <w:rPr>
          <w:rFonts w:ascii="Times New Roman" w:hAnsi="Times New Roman"/>
          <w:i/>
          <w:iCs/>
          <w:color w:val="000000"/>
          <w:vertAlign w:val="subscript"/>
          <w:lang w:val="en-US"/>
        </w:rPr>
        <w:t>2</w:t>
      </w:r>
      <w:r>
        <w:rPr>
          <w:rFonts w:ascii="Times New Roman" w:hAnsi="Times New Roman"/>
          <w:color w:val="000000"/>
          <w:lang w:val="en-US"/>
        </w:rPr>
        <w:t xml:space="preserve"> did not clearly indicate how the actor effect for women and the partner effect from women to men may be related. Given that the parameter </w:t>
      </w:r>
      <w:r>
        <w:rPr>
          <w:rFonts w:ascii="Times New Roman" w:hAnsi="Times New Roman"/>
          <w:i/>
          <w:iCs/>
          <w:color w:val="000000"/>
          <w:lang w:val="en-US"/>
        </w:rPr>
        <w:t>a</w:t>
      </w:r>
      <w:r>
        <w:rPr>
          <w:rFonts w:ascii="Times New Roman" w:hAnsi="Times New Roman"/>
          <w:i/>
          <w:iCs/>
          <w:color w:val="000000"/>
          <w:vertAlign w:val="subscript"/>
          <w:lang w:val="en-US"/>
        </w:rPr>
        <w:t>2</w:t>
      </w:r>
      <w:r>
        <w:rPr>
          <w:rFonts w:ascii="Times New Roman" w:hAnsi="Times New Roman"/>
          <w:color w:val="000000"/>
          <w:lang w:val="en-US"/>
        </w:rPr>
        <w:t xml:space="preserve"> in the saturated model was -.14 (</w:t>
      </w:r>
      <w:r>
        <w:rPr>
          <w:rFonts w:ascii="Times New Roman" w:hAnsi="Times New Roman"/>
          <w:i/>
          <w:iCs/>
          <w:color w:val="000000"/>
          <w:lang w:val="en-US"/>
        </w:rPr>
        <w:t>p</w:t>
      </w:r>
      <w:r>
        <w:rPr>
          <w:rFonts w:ascii="Times New Roman" w:hAnsi="Times New Roman"/>
          <w:color w:val="000000"/>
          <w:lang w:val="en-US"/>
        </w:rPr>
        <w:t xml:space="preserve"> = .41), it was determined that the actor effect for women was not statistically significant. Therefore, it was excluded from the modified model, allowing one degree of freedom. Subsequently, a model allowing actor effect for men and both partner effects was tested. The actor effect for men was statistically significant as well as both partner effects (see Figure 1). This indicates that women’s relationship satisfaction was only predicted by their partners’ objectification, whereas men’s relationship satisfaction was predicted by their partners’ as well as their own level of partner objectification. The model fit did not significantly deteriorate compared to the saturated model (CFI = 1.00, TLI = 0.99, SRMR = 0.015, RMSEA = 0.030, 90% CI: [0.000; 0.052], AIC = 2789.55; see: Table 3 in the main text). </w:t>
      </w:r>
    </w:p>
    <w:p>
      <w:pPr>
        <w:pStyle w:val="Normal"/>
        <w:spacing w:lineRule="auto" w:line="480"/>
        <w:rPr>
          <w:rFonts w:ascii="Times New Roman" w:hAnsi="Times New Roman"/>
          <w:lang w:val="en-US"/>
        </w:rPr>
      </w:pPr>
      <w:r>
        <w:rPr>
          <w:rFonts w:ascii="Times New Roman" w:hAnsi="Times New Roman"/>
          <w:i/>
          <w:iCs/>
          <w:color w:val="000000"/>
          <w:lang w:val="en-US"/>
        </w:rPr>
        <w:tab/>
        <w:t xml:space="preserve">Quality of alternatives APIM. </w:t>
      </w:r>
      <w:r>
        <w:rPr>
          <w:rFonts w:ascii="Times New Roman" w:hAnsi="Times New Roman"/>
          <w:color w:val="000000"/>
          <w:lang w:val="en-US"/>
        </w:rPr>
        <w:t xml:space="preserve">The second APIM model explored the interdependence between objectification and partners’ perceived quality of alternatives. After computing the saturated model, actor and partner effect values were used to estimate the values and confidence intervals for the parameters </w:t>
      </w:r>
      <w:r>
        <w:rPr>
          <w:rFonts w:ascii="Times New Roman" w:hAnsi="Times New Roman"/>
          <w:i/>
          <w:iCs/>
          <w:color w:val="000000"/>
          <w:lang w:val="en-US"/>
        </w:rPr>
        <w:t>k</w:t>
      </w:r>
      <w:r>
        <w:rPr>
          <w:rFonts w:ascii="Times New Roman" w:hAnsi="Times New Roman"/>
          <w:color w:val="000000"/>
          <w:lang w:val="en-US"/>
        </w:rPr>
        <w:t xml:space="preserve">. The confidence intervals for both </w:t>
      </w:r>
      <w:r>
        <w:rPr>
          <w:rFonts w:ascii="Times New Roman" w:hAnsi="Times New Roman"/>
          <w:i/>
          <w:iCs/>
          <w:color w:val="000000"/>
          <w:lang w:val="en-US"/>
        </w:rPr>
        <w:t>k</w:t>
      </w:r>
      <w:r>
        <w:rPr>
          <w:rFonts w:ascii="Times New Roman" w:hAnsi="Times New Roman"/>
          <w:color w:val="000000"/>
          <w:lang w:val="en-US"/>
        </w:rPr>
        <w:t xml:space="preserve"> parameters included the value 1 (</w:t>
      </w:r>
      <w:r>
        <w:rPr>
          <w:rFonts w:ascii="Times New Roman" w:hAnsi="Times New Roman"/>
          <w:i/>
          <w:iCs/>
          <w:color w:val="000000"/>
          <w:lang w:val="en-US"/>
        </w:rPr>
        <w:t>k</w:t>
      </w:r>
      <w:r>
        <w:rPr>
          <w:rFonts w:ascii="Times New Roman" w:hAnsi="Times New Roman"/>
          <w:i/>
          <w:iCs/>
          <w:color w:val="000000"/>
          <w:vertAlign w:val="subscript"/>
          <w:lang w:val="en-US"/>
        </w:rPr>
        <w:t>1</w:t>
      </w:r>
      <w:r>
        <w:rPr>
          <w:rFonts w:ascii="Times New Roman" w:hAnsi="Times New Roman"/>
          <w:color w:val="000000"/>
          <w:lang w:val="en-US"/>
        </w:rPr>
        <w:t xml:space="preserve"> = 1.05, 95% CI: [0.33; 4.34]; </w:t>
      </w:r>
      <w:r>
        <w:rPr>
          <w:rFonts w:ascii="Times New Roman" w:hAnsi="Times New Roman"/>
          <w:i/>
          <w:iCs/>
          <w:color w:val="000000"/>
          <w:lang w:val="en-US"/>
        </w:rPr>
        <w:t>k</w:t>
      </w:r>
      <w:r>
        <w:rPr>
          <w:rFonts w:ascii="Times New Roman" w:hAnsi="Times New Roman"/>
          <w:i/>
          <w:iCs/>
          <w:color w:val="000000"/>
          <w:vertAlign w:val="subscript"/>
          <w:lang w:val="en-US"/>
        </w:rPr>
        <w:t>2</w:t>
      </w:r>
      <w:r>
        <w:rPr>
          <w:rFonts w:ascii="Times New Roman" w:hAnsi="Times New Roman"/>
          <w:color w:val="000000"/>
          <w:lang w:val="en-US"/>
        </w:rPr>
        <w:t xml:space="preserve"> = 1.08, 95% CI: [0.33; 5.05]), suggesting lack of a statistically significant difference between the magnitude of actor and partner effects for women and men. Therefore, to free degrees of freedom, a modified model was estimated where the actor effect values were constrained to be equal to the partner effect values for women and men separately (see Figure 2). In other words, the actor effect for women was fixed to be equal to the partner effect from women to men, and also the actor effect for men was fixed to be equal to the partner effect from men to women. All actor and partner effects were statistically significant. As indicated by the fit indices, the modified model did not show any deterioration in fit compared to the saturated model.  (CFI = 1.00, TLI = 1.00, SRMR = 0.020, RMSEA = 0.000, 90% CI: [0.000, 0.012], AIC = 2963.73; see: Table 3 in the main text). </w:t>
      </w:r>
    </w:p>
    <w:p>
      <w:pPr>
        <w:pStyle w:val="Normal"/>
        <w:spacing w:lineRule="auto" w:line="480"/>
        <w:rPr>
          <w:rFonts w:ascii="Times New Roman" w:hAnsi="Times New Roman"/>
          <w:lang w:val="en-US"/>
        </w:rPr>
      </w:pPr>
      <w:r>
        <w:rPr>
          <w:rFonts w:ascii="Times New Roman" w:hAnsi="Times New Roman"/>
          <w:i/>
          <w:iCs/>
          <w:color w:val="000000"/>
          <w:lang w:val="en-US"/>
        </w:rPr>
        <w:tab/>
        <w:t xml:space="preserve">Relationship investment size APIM. </w:t>
      </w:r>
      <w:r>
        <w:rPr>
          <w:rFonts w:ascii="Times New Roman" w:hAnsi="Times New Roman"/>
          <w:color w:val="000000"/>
          <w:lang w:val="en-US"/>
        </w:rPr>
        <w:t xml:space="preserve">The third APIM model examined the interdependence between partner objectification and the size of partners’ investment in their relationship. In the saturated model, the actor effect for women did not exceed the threshold suggested by Fitzpatrick et al. (2016) for calculating the </w:t>
      </w:r>
      <w:r>
        <w:rPr>
          <w:rFonts w:ascii="Times New Roman" w:hAnsi="Times New Roman"/>
          <w:i/>
          <w:iCs/>
          <w:color w:val="000000"/>
          <w:lang w:val="en-US"/>
        </w:rPr>
        <w:t>k</w:t>
      </w:r>
      <w:r>
        <w:rPr>
          <w:rFonts w:ascii="Times New Roman" w:hAnsi="Times New Roman"/>
          <w:i/>
          <w:iCs/>
          <w:color w:val="000000"/>
          <w:vertAlign w:val="subscript"/>
          <w:lang w:val="en-US"/>
        </w:rPr>
        <w:t>2</w:t>
      </w:r>
      <w:r>
        <w:rPr>
          <w:rFonts w:ascii="Times New Roman" w:hAnsi="Times New Roman"/>
          <w:color w:val="000000"/>
          <w:vertAlign w:val="subscript"/>
          <w:lang w:val="en-US"/>
        </w:rPr>
        <w:t xml:space="preserve"> </w:t>
      </w:r>
      <w:r>
        <w:rPr>
          <w:rFonts w:ascii="Times New Roman" w:hAnsi="Times New Roman"/>
          <w:color w:val="000000"/>
          <w:lang w:val="en-US"/>
        </w:rPr>
        <w:t>parameter (</w:t>
      </w:r>
      <w:r>
        <w:rPr>
          <w:rFonts w:ascii="Times New Roman" w:hAnsi="Times New Roman"/>
          <w:i/>
          <w:iCs/>
          <w:color w:val="000000"/>
          <w:lang w:val="en-US"/>
        </w:rPr>
        <w:t>a</w:t>
      </w:r>
      <w:r>
        <w:rPr>
          <w:rFonts w:ascii="Times New Roman" w:hAnsi="Times New Roman"/>
          <w:i/>
          <w:iCs/>
          <w:color w:val="000000"/>
          <w:vertAlign w:val="subscript"/>
          <w:lang w:val="en-US"/>
        </w:rPr>
        <w:t>2</w:t>
      </w:r>
      <w:r>
        <w:rPr>
          <w:rFonts w:ascii="Times New Roman" w:hAnsi="Times New Roman"/>
          <w:color w:val="000000"/>
          <w:lang w:val="en-US"/>
        </w:rPr>
        <w:t xml:space="preserve"> = -.034, p = .74). Therefore, the actor effect for women was excluded from the modified model, allowing for one degree of freedom. The confidence interval for </w:t>
      </w:r>
      <w:r>
        <w:rPr>
          <w:rFonts w:ascii="Times New Roman" w:hAnsi="Times New Roman"/>
          <w:i/>
          <w:iCs/>
          <w:color w:val="000000"/>
          <w:lang w:val="en-US"/>
        </w:rPr>
        <w:t>k</w:t>
      </w:r>
      <w:r>
        <w:rPr>
          <w:rFonts w:ascii="Times New Roman" w:hAnsi="Times New Roman"/>
          <w:i/>
          <w:iCs/>
          <w:color w:val="000000"/>
          <w:vertAlign w:val="subscript"/>
          <w:lang w:val="en-US"/>
        </w:rPr>
        <w:t>1</w:t>
      </w:r>
      <w:r>
        <w:rPr>
          <w:rFonts w:ascii="Times New Roman" w:hAnsi="Times New Roman"/>
          <w:color w:val="000000"/>
          <w:lang w:val="en-US"/>
        </w:rPr>
        <w:t xml:space="preserve"> included both 0 and 1 (</w:t>
      </w:r>
      <w:r>
        <w:rPr>
          <w:rFonts w:ascii="Times New Roman" w:hAnsi="Times New Roman"/>
          <w:i/>
          <w:iCs/>
          <w:color w:val="000000"/>
          <w:lang w:val="en-US"/>
        </w:rPr>
        <w:t>k</w:t>
      </w:r>
      <w:r>
        <w:rPr>
          <w:rFonts w:ascii="Times New Roman" w:hAnsi="Times New Roman"/>
          <w:i/>
          <w:iCs/>
          <w:color w:val="000000"/>
          <w:vertAlign w:val="subscript"/>
          <w:lang w:val="en-US"/>
        </w:rPr>
        <w:t>1</w:t>
      </w:r>
      <w:r>
        <w:rPr>
          <w:rFonts w:ascii="Times New Roman" w:hAnsi="Times New Roman"/>
          <w:color w:val="000000"/>
          <w:lang w:val="en-US"/>
        </w:rPr>
        <w:t xml:space="preserve"> = -0.23, 95% CI: [-0.70; 2.09]), indicating no clear relationship between the actor effect for men and the partner effect from men to women. Consequently, the modified model included the actor effect for men and both partner effects. Neither the partner effect from men to women (</w:t>
      </w:r>
      <w:r>
        <w:rPr>
          <w:rFonts w:ascii="Times New Roman" w:hAnsi="Times New Roman"/>
          <w:i/>
          <w:iCs/>
          <w:color w:val="000000"/>
          <w:lang w:val="en-US"/>
        </w:rPr>
        <w:t>p</w:t>
      </w:r>
      <w:r>
        <w:rPr>
          <w:rFonts w:ascii="Times New Roman" w:hAnsi="Times New Roman"/>
          <w:color w:val="000000"/>
          <w:lang w:val="en-US"/>
        </w:rPr>
        <w:t xml:space="preserve"> = .079) nor from women to men (</w:t>
      </w:r>
      <w:r>
        <w:rPr>
          <w:rFonts w:ascii="Times New Roman" w:hAnsi="Times New Roman"/>
          <w:i/>
          <w:iCs/>
          <w:color w:val="000000"/>
          <w:lang w:val="en-US"/>
        </w:rPr>
        <w:t>p</w:t>
      </w:r>
      <w:r>
        <w:rPr>
          <w:rFonts w:ascii="Times New Roman" w:hAnsi="Times New Roman"/>
          <w:color w:val="000000"/>
          <w:lang w:val="en-US"/>
        </w:rPr>
        <w:t xml:space="preserve"> = .529) was statistically significant. Despite this, the modified model fit the data well (CFI = 1.00, TLI = 1.00, SRMR = 0.010, RMSEA = 0.000, 90% CI: [0.000, 0.021], AIC = 2771.35; see: Table 3 in the main text).</w:t>
      </w:r>
    </w:p>
    <w:p>
      <w:pPr>
        <w:pStyle w:val="Normal"/>
        <w:spacing w:lineRule="auto" w:line="480"/>
        <w:rPr>
          <w:rFonts w:ascii="Times New Roman" w:hAnsi="Times New Roman"/>
          <w:lang w:val="en-US"/>
        </w:rPr>
      </w:pPr>
      <w:r>
        <w:rPr>
          <w:rFonts w:ascii="Times New Roman" w:hAnsi="Times New Roman"/>
          <w:i/>
          <w:iCs/>
          <w:color w:val="000000"/>
          <w:lang w:val="en-US"/>
        </w:rPr>
        <w:tab/>
        <w:t xml:space="preserve">Relationship commitment APIM. </w:t>
      </w:r>
      <w:r>
        <w:rPr>
          <w:rFonts w:ascii="Times New Roman" w:hAnsi="Times New Roman"/>
          <w:color w:val="000000"/>
          <w:lang w:val="en-US"/>
        </w:rPr>
        <w:t xml:space="preserve">The fourth and final APIM model examined the interdependence between partner objectification and partners’ commitment. After computing the saturated model parameters, actor and partner effect values were used to estimate the values and confidence intervals for the </w:t>
      </w:r>
      <w:r>
        <w:rPr>
          <w:rFonts w:ascii="Times New Roman" w:hAnsi="Times New Roman"/>
          <w:i/>
          <w:iCs/>
          <w:color w:val="000000"/>
          <w:lang w:val="en-US"/>
        </w:rPr>
        <w:t>k</w:t>
      </w:r>
      <w:r>
        <w:rPr>
          <w:rFonts w:ascii="Times New Roman" w:hAnsi="Times New Roman"/>
          <w:color w:val="000000"/>
          <w:lang w:val="en-US"/>
        </w:rPr>
        <w:t xml:space="preserve"> parameters (</w:t>
      </w:r>
      <w:r>
        <w:rPr>
          <w:rFonts w:ascii="Times New Roman" w:hAnsi="Times New Roman"/>
          <w:i/>
          <w:iCs/>
          <w:color w:val="000000"/>
          <w:lang w:val="en-US"/>
        </w:rPr>
        <w:t>k</w:t>
      </w:r>
      <w:r>
        <w:rPr>
          <w:rFonts w:ascii="Times New Roman" w:hAnsi="Times New Roman"/>
          <w:i/>
          <w:iCs/>
          <w:color w:val="000000"/>
          <w:vertAlign w:val="subscript"/>
          <w:lang w:val="en-US"/>
        </w:rPr>
        <w:t>1</w:t>
      </w:r>
      <w:r>
        <w:rPr>
          <w:rFonts w:ascii="Times New Roman" w:hAnsi="Times New Roman"/>
          <w:color w:val="000000"/>
          <w:lang w:val="en-US"/>
        </w:rPr>
        <w:t xml:space="preserve"> = 0.29, 95% CI: [-0.07; 1.07]; </w:t>
      </w:r>
      <w:r>
        <w:rPr>
          <w:rFonts w:ascii="Times New Roman" w:hAnsi="Times New Roman"/>
          <w:i/>
          <w:iCs/>
          <w:color w:val="000000"/>
          <w:lang w:val="en-US"/>
        </w:rPr>
        <w:t>k</w:t>
      </w:r>
      <w:r>
        <w:rPr>
          <w:rFonts w:ascii="Times New Roman" w:hAnsi="Times New Roman"/>
          <w:i/>
          <w:iCs/>
          <w:color w:val="000000"/>
          <w:vertAlign w:val="subscript"/>
          <w:lang w:val="en-US"/>
        </w:rPr>
        <w:t>2</w:t>
      </w:r>
      <w:r>
        <w:rPr>
          <w:rFonts w:ascii="Times New Roman" w:hAnsi="Times New Roman"/>
          <w:color w:val="000000"/>
          <w:lang w:val="en-US"/>
        </w:rPr>
        <w:t xml:space="preserve"> = 0.47, 95% CI: [0.02; 1.41]. The confidence interval for </w:t>
      </w:r>
      <w:r>
        <w:rPr>
          <w:rFonts w:ascii="Times New Roman" w:hAnsi="Times New Roman"/>
          <w:i/>
          <w:iCs/>
          <w:color w:val="000000"/>
          <w:lang w:val="en-US"/>
        </w:rPr>
        <w:t>k</w:t>
      </w:r>
      <w:r>
        <w:rPr>
          <w:rFonts w:ascii="Times New Roman" w:hAnsi="Times New Roman"/>
          <w:i/>
          <w:iCs/>
          <w:color w:val="000000"/>
          <w:vertAlign w:val="subscript"/>
          <w:lang w:val="en-US"/>
        </w:rPr>
        <w:t>1</w:t>
      </w:r>
      <w:r>
        <w:rPr>
          <w:rFonts w:ascii="Times New Roman" w:hAnsi="Times New Roman"/>
          <w:color w:val="000000"/>
          <w:lang w:val="en-US"/>
        </w:rPr>
        <w:t xml:space="preserve"> included both 0 and 1, indicating no clear relationship between the actor effect for men and partner effects from men to women, whereas the confidence interval for </w:t>
      </w:r>
      <w:r>
        <w:rPr>
          <w:rFonts w:ascii="Times New Roman" w:hAnsi="Times New Roman"/>
          <w:i/>
          <w:iCs/>
          <w:color w:val="000000"/>
          <w:lang w:val="en-US"/>
        </w:rPr>
        <w:t>k</w:t>
      </w:r>
      <w:r>
        <w:rPr>
          <w:rFonts w:ascii="Times New Roman" w:hAnsi="Times New Roman"/>
          <w:i/>
          <w:iCs/>
          <w:color w:val="000000"/>
          <w:vertAlign w:val="subscript"/>
          <w:lang w:val="en-US"/>
        </w:rPr>
        <w:t>2</w:t>
      </w:r>
      <w:r>
        <w:rPr>
          <w:rFonts w:ascii="Times New Roman" w:hAnsi="Times New Roman"/>
          <w:color w:val="000000"/>
          <w:lang w:val="en-US"/>
        </w:rPr>
        <w:t xml:space="preserve">​, did not include 0 but included 1. This suggests lack of a statistically significant difference between the magnitude of the actor effect for women and the partner effect from women to men. Consequently, we compared three alternative constrained models with one or two degrees of freedom. In one model we fixed actor effects to be equal in both partners as well as partner effects, treating the dyads as indistinguishable (CFI = 0.99, TLI = 0.99, SRMR = 0.031, RMSEA = 0.050, 90% CI: [0.000, 0.149], AIC = 2609.78). In the next model, only actor effects were assumed to be equal (CFI = 1.00, TLI = 1.00, SRMR = 0.012, RMSEA = 0.011, 90% CI: [0.000, 0.175], AIC = 2609.68), whereas in the last model, only partner effects were assumed to be equal (CFI = 1.00, TLI = 1.01, SRMR = 0.003, RMSEA = 0.000, 90% CI: [0.000, 0.119], AIC = 2608.74). Although the fit indices for all three models were not substantially worse compared to the saturated model, the model with partner effects fixed to be equal but not actor effects fit the data best (see: Table 3 in the main text). The magnitude of actor effects for relationship commitment was significantly greater than that of partner effects </w:t>
      </w:r>
      <w:r>
        <w:rPr>
          <w:rFonts w:ascii="Times New Roman" w:hAnsi="Times New Roman"/>
          <w:color w:val="000000"/>
          <w:lang w:val="en-US"/>
        </w:rPr>
        <w:t>(</w:t>
      </w:r>
      <w:r>
        <w:rPr>
          <w:rFonts w:cs="Times New Roman" w:ascii="Times New Roman" w:hAnsi="Times New Roman"/>
          <w:i/>
          <w:iCs/>
          <w:color w:val="000000"/>
          <w:lang w:val="en-US"/>
        </w:rPr>
        <w:t>z</w:t>
      </w:r>
      <w:r>
        <w:rPr>
          <w:rFonts w:cs="Times New Roman" w:ascii="Times New Roman" w:hAnsi="Times New Roman"/>
          <w:color w:val="000000"/>
          <w:lang w:val="en-US"/>
        </w:rPr>
        <w:t xml:space="preserve"> = −5.58, </w:t>
      </w:r>
      <w:r>
        <w:rPr>
          <w:rFonts w:cs="Times New Roman" w:ascii="Times New Roman" w:hAnsi="Times New Roman"/>
          <w:i/>
          <w:iCs/>
          <w:color w:val="000000"/>
          <w:lang w:val="en-US"/>
        </w:rPr>
        <w:t>p</w:t>
      </w:r>
      <w:r>
        <w:rPr>
          <w:rFonts w:cs="Times New Roman" w:ascii="Times New Roman" w:hAnsi="Times New Roman"/>
          <w:color w:val="000000"/>
          <w:lang w:val="en-US"/>
        </w:rPr>
        <w:t xml:space="preserve"> &lt; .001 for men, </w:t>
      </w:r>
      <w:r>
        <w:rPr>
          <w:rFonts w:cs="Times New Roman" w:ascii="Times New Roman" w:hAnsi="Times New Roman"/>
          <w:i/>
          <w:iCs/>
          <w:color w:val="000000"/>
          <w:lang w:val="en-US"/>
        </w:rPr>
        <w:t>z</w:t>
      </w:r>
      <w:r>
        <w:rPr>
          <w:rFonts w:cs="Times New Roman" w:ascii="Times New Roman" w:hAnsi="Times New Roman"/>
          <w:color w:val="000000"/>
          <w:lang w:val="en-US"/>
        </w:rPr>
        <w:t xml:space="preserve"> = −3.60, </w:t>
      </w:r>
      <w:r>
        <w:rPr>
          <w:rFonts w:cs="Times New Roman" w:ascii="Times New Roman" w:hAnsi="Times New Roman"/>
          <w:i/>
          <w:iCs/>
          <w:color w:val="000000"/>
          <w:lang w:val="en-US"/>
        </w:rPr>
        <w:t>p</w:t>
      </w:r>
      <w:r>
        <w:rPr>
          <w:rFonts w:cs="Times New Roman" w:ascii="Times New Roman" w:hAnsi="Times New Roman"/>
          <w:color w:val="000000"/>
          <w:lang w:val="en-US"/>
        </w:rPr>
        <w:t xml:space="preserve"> &lt; .001for women).</w:t>
      </w:r>
    </w:p>
    <w:p>
      <w:pPr>
        <w:pStyle w:val="Normal"/>
        <w:spacing w:lineRule="auto" w:line="360"/>
        <w:rPr>
          <w:rFonts w:ascii="Times New Roman" w:hAnsi="Times New Roman"/>
          <w:lang w:val="en-US"/>
        </w:rPr>
      </w:pPr>
      <w:r>
        <w:rPr>
          <w:rFonts w:ascii="Times New Roman" w:hAnsi="Times New Roman"/>
          <w:lang w:val="en-US"/>
        </w:rPr>
      </w:r>
      <w:r>
        <w:br w:type="page"/>
      </w:r>
    </w:p>
    <w:p>
      <w:pPr>
        <w:pStyle w:val="Heading1"/>
        <w:numPr>
          <w:ilvl w:val="0"/>
          <w:numId w:val="1"/>
        </w:numPr>
        <w:spacing w:lineRule="auto" w:line="360" w:before="0" w:after="0"/>
        <w:rPr>
          <w:lang w:val="en-US"/>
        </w:rPr>
      </w:pPr>
      <w:bookmarkStart w:id="16" w:name="__RefHeading___Toc17707_3872103911"/>
      <w:bookmarkStart w:id="17" w:name="_Toc232183047"/>
      <w:bookmarkEnd w:id="16"/>
      <w:r>
        <w:rPr>
          <w:rStyle w:val="Strong"/>
          <w:rFonts w:ascii="Times New Roman" w:hAnsi="Times New Roman"/>
          <w:color w:val="000000"/>
          <w:sz w:val="24"/>
          <w:szCs w:val="24"/>
          <w:u w:val="single"/>
          <w:lang w:val="en-US"/>
        </w:rPr>
        <w:t>4. Romantic Partner Objectification Scale</w:t>
      </w:r>
      <w:bookmarkEnd w:id="17"/>
      <w:r>
        <w:rPr>
          <w:rStyle w:val="Strong"/>
          <w:rFonts w:ascii="Times New Roman" w:hAnsi="Times New Roman"/>
          <w:color w:val="000000"/>
          <w:sz w:val="24"/>
          <w:szCs w:val="24"/>
          <w:u w:val="single"/>
          <w:lang w:val="en-US"/>
        </w:rPr>
        <w:t xml:space="preserve"> </w:t>
      </w:r>
    </w:p>
    <w:p>
      <w:pPr>
        <w:pStyle w:val="Normal"/>
        <w:spacing w:lineRule="auto" w:line="360"/>
        <w:rPr>
          <w:rFonts w:hint="eastAsia"/>
          <w:lang w:val="en-US"/>
        </w:rPr>
      </w:pPr>
      <w:r>
        <w:rPr>
          <w:rFonts w:hint="eastAsia"/>
          <w:lang w:val="en-US"/>
        </w:rPr>
      </w:r>
    </w:p>
    <w:p>
      <w:pPr>
        <w:pStyle w:val="BodyText"/>
        <w:spacing w:lineRule="auto" w:line="480" w:before="0" w:after="0"/>
        <w:rPr>
          <w:rFonts w:ascii="Times New Roman" w:hAnsi="Times New Roman"/>
          <w:lang w:val="en-US"/>
        </w:rPr>
      </w:pPr>
      <w:r>
        <w:rPr>
          <w:rFonts w:ascii="Times New Roman" w:hAnsi="Times New Roman"/>
          <w:i/>
          <w:iCs/>
          <w:lang w:val="en-US"/>
        </w:rPr>
        <w:t>The following statements refer to how you perceive your relationship with your partner. Please respond to the statements using the provided scale. There are no right or wrong answers; what matters is your personal perspective.</w:t>
      </w:r>
    </w:p>
    <w:p>
      <w:pPr>
        <w:pStyle w:val="BodyText"/>
        <w:spacing w:lineRule="auto" w:line="480" w:before="0" w:after="0"/>
        <w:rPr>
          <w:rFonts w:hint="eastAsia"/>
          <w:lang w:val="en-US"/>
        </w:rPr>
      </w:pPr>
      <w:r>
        <w:rPr>
          <w:rStyle w:val="Strong"/>
          <w:rFonts w:ascii="Times New Roman" w:hAnsi="Times New Roman"/>
          <w:b w:val="false"/>
          <w:bCs w:val="false"/>
          <w:i/>
          <w:iCs/>
          <w:lang w:val="en-US"/>
        </w:rPr>
        <w:t>1 = Strongly disagree</w:t>
      </w:r>
      <w:r>
        <w:rPr>
          <w:rFonts w:ascii="Times New Roman" w:hAnsi="Times New Roman"/>
          <w:i/>
          <w:iCs/>
          <w:lang w:val="en-US"/>
        </w:rPr>
        <w:br/>
      </w:r>
      <w:r>
        <w:rPr>
          <w:rStyle w:val="Strong"/>
          <w:rFonts w:ascii="Times New Roman" w:hAnsi="Times New Roman"/>
          <w:b w:val="false"/>
          <w:bCs w:val="false"/>
          <w:i/>
          <w:iCs/>
          <w:lang w:val="en-US"/>
        </w:rPr>
        <w:t>2 = Disagree</w:t>
      </w:r>
      <w:r>
        <w:rPr>
          <w:rFonts w:ascii="Times New Roman" w:hAnsi="Times New Roman"/>
          <w:i/>
          <w:iCs/>
          <w:lang w:val="en-US"/>
        </w:rPr>
        <w:br/>
      </w:r>
      <w:r>
        <w:rPr>
          <w:rStyle w:val="Strong"/>
          <w:rFonts w:ascii="Times New Roman" w:hAnsi="Times New Roman"/>
          <w:b w:val="false"/>
          <w:bCs w:val="false"/>
          <w:i/>
          <w:iCs/>
          <w:lang w:val="en-US"/>
        </w:rPr>
        <w:t>3 = Somewhat disagree</w:t>
      </w:r>
      <w:r>
        <w:rPr>
          <w:rFonts w:ascii="Times New Roman" w:hAnsi="Times New Roman"/>
          <w:i/>
          <w:iCs/>
          <w:lang w:val="en-US"/>
        </w:rPr>
        <w:br/>
      </w:r>
      <w:r>
        <w:rPr>
          <w:rStyle w:val="Strong"/>
          <w:rFonts w:ascii="Times New Roman" w:hAnsi="Times New Roman"/>
          <w:b w:val="false"/>
          <w:bCs w:val="false"/>
          <w:i/>
          <w:iCs/>
          <w:lang w:val="en-US"/>
        </w:rPr>
        <w:t>4 = Hard to say</w:t>
      </w:r>
      <w:r>
        <w:rPr>
          <w:rFonts w:ascii="Times New Roman" w:hAnsi="Times New Roman"/>
          <w:i/>
          <w:iCs/>
          <w:lang w:val="en-US"/>
        </w:rPr>
        <w:br/>
      </w:r>
      <w:r>
        <w:rPr>
          <w:rStyle w:val="Strong"/>
          <w:rFonts w:ascii="Times New Roman" w:hAnsi="Times New Roman"/>
          <w:b w:val="false"/>
          <w:bCs w:val="false"/>
          <w:i/>
          <w:iCs/>
          <w:lang w:val="en-US"/>
        </w:rPr>
        <w:t>5 = Somewhat agree</w:t>
      </w:r>
      <w:r>
        <w:rPr>
          <w:rFonts w:ascii="Times New Roman" w:hAnsi="Times New Roman"/>
          <w:i/>
          <w:iCs/>
          <w:lang w:val="en-US"/>
        </w:rPr>
        <w:br/>
      </w:r>
      <w:r>
        <w:rPr>
          <w:rStyle w:val="Strong"/>
          <w:rFonts w:ascii="Times New Roman" w:hAnsi="Times New Roman"/>
          <w:b w:val="false"/>
          <w:bCs w:val="false"/>
          <w:i/>
          <w:iCs/>
          <w:lang w:val="en-US"/>
        </w:rPr>
        <w:t>6 = Agree</w:t>
      </w:r>
      <w:r>
        <w:rPr>
          <w:rFonts w:ascii="Times New Roman" w:hAnsi="Times New Roman"/>
          <w:i/>
          <w:iCs/>
          <w:lang w:val="en-US"/>
        </w:rPr>
        <w:br/>
      </w:r>
      <w:r>
        <w:rPr>
          <w:rStyle w:val="Strong"/>
          <w:rFonts w:ascii="Times New Roman" w:hAnsi="Times New Roman"/>
          <w:b w:val="false"/>
          <w:bCs w:val="false"/>
          <w:i/>
          <w:iCs/>
          <w:lang w:val="en-US"/>
        </w:rPr>
        <w:t>7 = Strongly agree</w:t>
      </w:r>
    </w:p>
    <w:p>
      <w:pPr>
        <w:pStyle w:val="BodyText"/>
        <w:numPr>
          <w:ilvl w:val="0"/>
          <w:numId w:val="2"/>
        </w:numPr>
        <w:tabs>
          <w:tab w:val="clear" w:pos="709"/>
          <w:tab w:val="left" w:pos="0" w:leader="none"/>
        </w:tabs>
        <w:spacing w:lineRule="auto" w:line="480" w:before="0" w:after="0"/>
        <w:rPr>
          <w:rFonts w:ascii="Times New Roman" w:hAnsi="Times New Roman"/>
          <w:lang w:val="en-US"/>
        </w:rPr>
      </w:pPr>
      <w:r>
        <w:rPr>
          <w:rFonts w:ascii="Times New Roman" w:hAnsi="Times New Roman"/>
          <w:lang w:val="en-US"/>
        </w:rPr>
        <w:t>I appreciate my partner, even when she/he does not contribute to achieving my personal goals.</w:t>
      </w:r>
    </w:p>
    <w:p>
      <w:pPr>
        <w:pStyle w:val="BodyText"/>
        <w:numPr>
          <w:ilvl w:val="0"/>
          <w:numId w:val="2"/>
        </w:numPr>
        <w:tabs>
          <w:tab w:val="clear" w:pos="709"/>
          <w:tab w:val="left" w:pos="0" w:leader="none"/>
        </w:tabs>
        <w:spacing w:lineRule="auto" w:line="480" w:before="0" w:after="0"/>
        <w:rPr>
          <w:rFonts w:ascii="Times New Roman" w:hAnsi="Times New Roman"/>
          <w:lang w:val="en-US"/>
        </w:rPr>
      </w:pPr>
      <w:r>
        <w:rPr>
          <w:rFonts w:ascii="Times New Roman" w:hAnsi="Times New Roman"/>
          <w:lang w:val="en-US"/>
        </w:rPr>
        <w:t>I think more about what my partner can do for me than about what I can do for her/him.</w:t>
      </w:r>
    </w:p>
    <w:p>
      <w:pPr>
        <w:pStyle w:val="BodyText"/>
        <w:numPr>
          <w:ilvl w:val="0"/>
          <w:numId w:val="2"/>
        </w:numPr>
        <w:tabs>
          <w:tab w:val="clear" w:pos="709"/>
          <w:tab w:val="left" w:pos="0" w:leader="none"/>
        </w:tabs>
        <w:spacing w:lineRule="auto" w:line="480" w:before="0" w:after="0"/>
        <w:rPr>
          <w:rFonts w:ascii="Times New Roman" w:hAnsi="Times New Roman"/>
          <w:lang w:val="en-US"/>
        </w:rPr>
      </w:pPr>
      <w:r>
        <w:rPr>
          <w:rFonts w:ascii="Times New Roman" w:hAnsi="Times New Roman"/>
          <w:lang w:val="en-US"/>
        </w:rPr>
        <w:t>What my partner feels or thinks does not matter much to me. What counts is that I need her/him.</w:t>
      </w:r>
    </w:p>
    <w:p>
      <w:pPr>
        <w:pStyle w:val="BodyText"/>
        <w:numPr>
          <w:ilvl w:val="0"/>
          <w:numId w:val="2"/>
        </w:numPr>
        <w:tabs>
          <w:tab w:val="clear" w:pos="709"/>
          <w:tab w:val="left" w:pos="0" w:leader="none"/>
        </w:tabs>
        <w:spacing w:lineRule="auto" w:line="480" w:before="0" w:after="0"/>
        <w:rPr>
          <w:rFonts w:ascii="Times New Roman" w:hAnsi="Times New Roman"/>
          <w:lang w:val="en-US"/>
        </w:rPr>
      </w:pPr>
      <w:r>
        <w:rPr>
          <w:rFonts w:ascii="Times New Roman" w:hAnsi="Times New Roman"/>
          <w:lang w:val="en-US"/>
        </w:rPr>
        <w:t>I am often interested in what my partner feels because I want to be as close to her/him as possible.</w:t>
      </w:r>
    </w:p>
    <w:p>
      <w:pPr>
        <w:pStyle w:val="BodyText"/>
        <w:numPr>
          <w:ilvl w:val="0"/>
          <w:numId w:val="2"/>
        </w:numPr>
        <w:tabs>
          <w:tab w:val="clear" w:pos="709"/>
          <w:tab w:val="left" w:pos="0" w:leader="none"/>
        </w:tabs>
        <w:spacing w:lineRule="auto" w:line="480" w:before="0" w:after="0"/>
        <w:rPr>
          <w:rFonts w:ascii="Times New Roman" w:hAnsi="Times New Roman"/>
          <w:lang w:val="en-US"/>
        </w:rPr>
      </w:pPr>
      <w:r>
        <w:rPr>
          <w:rFonts w:ascii="Times New Roman" w:hAnsi="Times New Roman"/>
          <w:lang w:val="en-US"/>
        </w:rPr>
        <w:t>If my partner were no longer needed, our relationship would come to an end.</w:t>
      </w:r>
    </w:p>
    <w:p>
      <w:pPr>
        <w:pStyle w:val="BodyText"/>
        <w:numPr>
          <w:ilvl w:val="0"/>
          <w:numId w:val="2"/>
        </w:numPr>
        <w:tabs>
          <w:tab w:val="clear" w:pos="709"/>
          <w:tab w:val="left" w:pos="0" w:leader="none"/>
        </w:tabs>
        <w:spacing w:lineRule="auto" w:line="480" w:before="0" w:after="0"/>
        <w:rPr>
          <w:rFonts w:ascii="Times New Roman" w:hAnsi="Times New Roman"/>
          <w:lang w:val="en-US"/>
        </w:rPr>
      </w:pPr>
      <w:r>
        <w:rPr>
          <w:rFonts w:ascii="Times New Roman" w:hAnsi="Times New Roman"/>
          <w:lang w:val="en-US"/>
        </w:rPr>
        <w:t>My relationship with my partner is based on valuing each other as individuals, rather than on her/him being useful to me.</w:t>
      </w:r>
    </w:p>
    <w:p>
      <w:pPr>
        <w:pStyle w:val="BodyText"/>
        <w:numPr>
          <w:ilvl w:val="0"/>
          <w:numId w:val="2"/>
        </w:numPr>
        <w:tabs>
          <w:tab w:val="clear" w:pos="709"/>
          <w:tab w:val="left" w:pos="0" w:leader="none"/>
        </w:tabs>
        <w:spacing w:lineRule="auto" w:line="480" w:before="0" w:after="0"/>
        <w:rPr>
          <w:rFonts w:ascii="Times New Roman" w:hAnsi="Times New Roman"/>
          <w:lang w:val="en-US"/>
        </w:rPr>
      </w:pPr>
      <w:r>
        <w:rPr>
          <w:rFonts w:ascii="Times New Roman" w:hAnsi="Times New Roman"/>
          <w:lang w:val="en-US"/>
        </w:rPr>
        <w:t>I believe that my relationship with my partner is important solely because it helps me achieve my goals.</w:t>
      </w:r>
    </w:p>
    <w:p>
      <w:pPr>
        <w:pStyle w:val="BodyText"/>
        <w:numPr>
          <w:ilvl w:val="0"/>
          <w:numId w:val="2"/>
        </w:numPr>
        <w:tabs>
          <w:tab w:val="clear" w:pos="709"/>
          <w:tab w:val="left" w:pos="0" w:leader="none"/>
        </w:tabs>
        <w:spacing w:lineRule="auto" w:line="480" w:before="0" w:after="0"/>
        <w:rPr>
          <w:rFonts w:ascii="Times New Roman" w:hAnsi="Times New Roman"/>
          <w:lang w:val="en-US"/>
        </w:rPr>
      </w:pPr>
      <w:r>
        <w:rPr>
          <w:rFonts w:ascii="Times New Roman" w:hAnsi="Times New Roman"/>
          <w:lang w:val="en-US"/>
        </w:rPr>
        <w:t>I feel that I can treat my partner as I see fit.</w:t>
      </w:r>
    </w:p>
    <w:p>
      <w:pPr>
        <w:pStyle w:val="BodyText"/>
        <w:numPr>
          <w:ilvl w:val="0"/>
          <w:numId w:val="2"/>
        </w:numPr>
        <w:tabs>
          <w:tab w:val="clear" w:pos="709"/>
          <w:tab w:val="left" w:pos="0" w:leader="none"/>
        </w:tabs>
        <w:spacing w:lineRule="auto" w:line="480" w:before="0" w:after="0"/>
        <w:rPr>
          <w:rFonts w:ascii="Times New Roman" w:hAnsi="Times New Roman"/>
          <w:lang w:val="en-US"/>
        </w:rPr>
      </w:pPr>
      <w:r>
        <w:rPr>
          <w:rFonts w:ascii="Times New Roman" w:hAnsi="Times New Roman"/>
          <w:lang w:val="en-US"/>
        </w:rPr>
        <w:t>I turn to my partner primarily when I need something from her/him.</w:t>
      </w:r>
    </w:p>
    <w:p>
      <w:pPr>
        <w:pStyle w:val="NormalWeb"/>
        <w:spacing w:lineRule="auto" w:line="480" w:before="0" w:after="0"/>
        <w:rPr>
          <w:rFonts w:ascii="Times New Roman" w:hAnsi="Times New Roman"/>
          <w:b/>
          <w:bCs/>
          <w:color w:val="000000"/>
          <w:sz w:val="22"/>
          <w:szCs w:val="22"/>
          <w:lang w:val="en-US"/>
        </w:rPr>
      </w:pPr>
      <w:r>
        <w:rPr>
          <w:rFonts w:ascii="Times New Roman" w:hAnsi="Times New Roman"/>
          <w:b/>
          <w:bCs/>
          <w:color w:val="000000"/>
          <w:sz w:val="22"/>
          <w:szCs w:val="22"/>
          <w:lang w:val="en-US"/>
        </w:rPr>
      </w:r>
    </w:p>
    <w:p>
      <w:pPr>
        <w:pStyle w:val="NormalWeb"/>
        <w:spacing w:lineRule="auto" w:line="480" w:before="0" w:after="0"/>
        <w:jc w:val="center"/>
        <w:rPr>
          <w:rFonts w:ascii="Times New Roman" w:hAnsi="Times New Roman"/>
          <w:b/>
          <w:bCs/>
          <w:color w:val="000000"/>
          <w:sz w:val="22"/>
          <w:szCs w:val="22"/>
          <w:lang w:val="en-US"/>
        </w:rPr>
      </w:pPr>
      <w:r>
        <w:rPr>
          <w:rFonts w:ascii="Times New Roman" w:hAnsi="Times New Roman"/>
          <w:b/>
          <w:bCs/>
          <w:color w:val="000000"/>
          <w:sz w:val="22"/>
          <w:szCs w:val="22"/>
          <w:lang w:val="en-US"/>
        </w:rPr>
      </w:r>
    </w:p>
    <w:p>
      <w:pPr>
        <w:pStyle w:val="Heading1"/>
        <w:numPr>
          <w:ilvl w:val="0"/>
          <w:numId w:val="0"/>
        </w:numPr>
        <w:spacing w:lineRule="auto" w:line="480" w:before="0" w:after="0"/>
        <w:ind w:hanging="0" w:start="0"/>
        <w:rPr>
          <w:rFonts w:ascii="Times New Roman" w:hAnsi="Times New Roman"/>
          <w:color w:val="000000"/>
          <w:sz w:val="24"/>
          <w:szCs w:val="24"/>
          <w:u w:val="single"/>
          <w:lang w:val="en-US"/>
        </w:rPr>
      </w:pPr>
      <w:r>
        <w:rPr>
          <w:rFonts w:ascii="Times New Roman" w:hAnsi="Times New Roman"/>
          <w:color w:val="000000"/>
          <w:sz w:val="24"/>
          <w:szCs w:val="24"/>
          <w:u w:val="single"/>
          <w:lang w:val="en-US"/>
        </w:rPr>
      </w:r>
      <w:r>
        <w:br w:type="page"/>
      </w:r>
    </w:p>
    <w:p>
      <w:pPr>
        <w:pStyle w:val="Heading1"/>
        <w:numPr>
          <w:ilvl w:val="0"/>
          <w:numId w:val="1"/>
        </w:numPr>
        <w:spacing w:lineRule="auto" w:line="480" w:before="0" w:after="0"/>
        <w:rPr>
          <w:rFonts w:ascii="Times New Roman" w:hAnsi="Times New Roman"/>
          <w:sz w:val="24"/>
          <w:szCs w:val="24"/>
        </w:rPr>
      </w:pPr>
      <w:bookmarkStart w:id="18" w:name="__RefHeading___Toc7359_3367103188"/>
      <w:bookmarkStart w:id="19" w:name="_Toc232183048"/>
      <w:bookmarkEnd w:id="18"/>
      <w:r>
        <w:rPr>
          <w:rFonts w:ascii="Times New Roman" w:hAnsi="Times New Roman"/>
          <w:b/>
          <w:bCs/>
          <w:color w:val="000000"/>
          <w:sz w:val="24"/>
          <w:szCs w:val="24"/>
        </w:rPr>
        <w:t>References</w:t>
      </w:r>
      <w:bookmarkEnd w:id="19"/>
    </w:p>
    <w:p>
      <w:pPr>
        <w:pStyle w:val="Normal"/>
        <w:numPr>
          <w:ilvl w:val="0"/>
          <w:numId w:val="3"/>
        </w:numPr>
        <w:spacing w:lineRule="auto" w:line="480"/>
        <w:rPr>
          <w:rFonts w:ascii="Times New Roman" w:hAnsi="Times New Roman"/>
        </w:rPr>
      </w:pPr>
      <w:r>
        <w:rPr>
          <w:rFonts w:ascii="Times New Roman" w:hAnsi="Times New Roman"/>
        </w:rPr>
        <w:t xml:space="preserve">Kozłowska, M. A. </w:t>
      </w:r>
      <w:r>
        <w:rPr>
          <w:rStyle w:val="Emphasis"/>
          <w:rFonts w:ascii="Times New Roman" w:hAnsi="Times New Roman"/>
        </w:rPr>
        <w:t xml:space="preserve">Zjawisko obiektyfikacji w relacji romantycznej: jego związki z percepcją partnera i własnej osoby, oceną jakości relacji oraz zachowaniami wobec partnera w sytuacji konfliktu/The phenomenon of objectification in romantic relationships: Its associations with partner and self-perception, relationship quality, and behaviors toward the partner in conflict situations </w:t>
      </w:r>
      <w:r>
        <w:rPr>
          <w:rFonts w:ascii="Times New Roman" w:hAnsi="Times New Roman"/>
        </w:rPr>
        <w:t xml:space="preserve">(Doctoral dissertation, Uniwersytet Wrocławski, Instytut Psychologii) (2024). </w:t>
      </w:r>
      <w:hyperlink r:id="rId2" w:tgtFrame="_new">
        <w:r>
          <w:rPr>
            <w:rStyle w:val="Hyperlink"/>
            <w:rFonts w:ascii="Times New Roman" w:hAnsi="Times New Roman"/>
          </w:rPr>
          <w:t>https://bip.uni.wroc.pl/download/attachment/42940/zjawisko-obiektyfikacji-w-relacji-romantycznej-jego-zwiazki-z-percepcja-partnera-i-wlasnej-osoby-ocena-jakosci-relacji-oraz-zachowaniami-wobec-partnera-w-sytuacji-konfliktu-mk.pdf</w:t>
        </w:r>
      </w:hyperlink>
      <w:r>
        <w:rPr>
          <w:rFonts w:ascii="Times New Roman" w:hAnsi="Times New Roman"/>
        </w:rPr>
        <w:t xml:space="preserve"> </w:t>
      </w:r>
    </w:p>
    <w:p>
      <w:pPr>
        <w:pStyle w:val="Normal"/>
        <w:numPr>
          <w:ilvl w:val="0"/>
          <w:numId w:val="3"/>
        </w:numPr>
        <w:spacing w:lineRule="auto" w:line="480"/>
        <w:rPr>
          <w:rFonts w:ascii="Times New Roman" w:hAnsi="Times New Roman"/>
        </w:rPr>
      </w:pPr>
      <w:r>
        <w:rPr>
          <w:rFonts w:ascii="Times New Roman" w:hAnsi="Times New Roman"/>
          <w:lang w:val="en-US"/>
        </w:rPr>
        <w:t xml:space="preserve">Topolewska, E., Skimina, E., Strus, W., Cieciuch, J. &amp; Rowinski, T. A short questionnaire for measuring the Big Five: IPIP-BFM-20. </w:t>
      </w:r>
      <w:r>
        <w:rPr>
          <w:rFonts w:ascii="Times New Roman" w:hAnsi="Times New Roman"/>
          <w:i/>
          <w:iCs/>
        </w:rPr>
        <w:t>Ann. Psychol.</w:t>
      </w:r>
      <w:r>
        <w:rPr>
          <w:rFonts w:ascii="Times New Roman" w:hAnsi="Times New Roman"/>
        </w:rPr>
        <w:t xml:space="preserve"> </w:t>
      </w:r>
      <w:r>
        <w:rPr>
          <w:rFonts w:ascii="Times New Roman" w:hAnsi="Times New Roman"/>
          <w:b/>
          <w:bCs/>
        </w:rPr>
        <w:t>17</w:t>
      </w:r>
      <w:r>
        <w:rPr>
          <w:rFonts w:ascii="Times New Roman" w:hAnsi="Times New Roman"/>
        </w:rPr>
        <w:t xml:space="preserve">, 367–384 (2014). </w:t>
      </w:r>
    </w:p>
    <w:p>
      <w:pPr>
        <w:pStyle w:val="Normal"/>
        <w:numPr>
          <w:ilvl w:val="0"/>
          <w:numId w:val="3"/>
        </w:numPr>
        <w:spacing w:lineRule="auto" w:line="480"/>
        <w:rPr>
          <w:rFonts w:ascii="Times New Roman" w:hAnsi="Times New Roman"/>
        </w:rPr>
      </w:pPr>
      <w:r>
        <w:rPr>
          <w:rFonts w:ascii="Times New Roman" w:hAnsi="Times New Roman"/>
          <w:lang w:val="en-US"/>
        </w:rPr>
        <w:t xml:space="preserve">Czarna, A. Z., Jonason, P. K., Dufner, M. &amp; Kossowska, M. The Dirty Dozen Scale: Validation of a Polish version and extension of the nomological net. </w:t>
      </w:r>
      <w:r>
        <w:rPr>
          <w:rFonts w:ascii="Times New Roman" w:hAnsi="Times New Roman"/>
          <w:i/>
          <w:iCs/>
        </w:rPr>
        <w:t>Front.Psychol.</w:t>
      </w:r>
      <w:r>
        <w:rPr>
          <w:rFonts w:ascii="Times New Roman" w:hAnsi="Times New Roman"/>
        </w:rPr>
        <w:t xml:space="preserve"> </w:t>
      </w:r>
      <w:r>
        <w:rPr>
          <w:rFonts w:ascii="Times New Roman" w:hAnsi="Times New Roman"/>
          <w:b/>
          <w:bCs/>
        </w:rPr>
        <w:t>7</w:t>
      </w:r>
      <w:r>
        <w:rPr>
          <w:rFonts w:ascii="Times New Roman" w:hAnsi="Times New Roman"/>
        </w:rPr>
        <w:t xml:space="preserve">, 45 (2016). doi:10.3389/fpsyg.2016.00445 </w:t>
      </w:r>
    </w:p>
    <w:p>
      <w:pPr>
        <w:pStyle w:val="Normal"/>
        <w:numPr>
          <w:ilvl w:val="0"/>
          <w:numId w:val="3"/>
        </w:numPr>
        <w:spacing w:lineRule="auto" w:line="480"/>
        <w:rPr>
          <w:rFonts w:ascii="Times New Roman" w:hAnsi="Times New Roman"/>
        </w:rPr>
      </w:pPr>
      <w:r>
        <w:rPr>
          <w:rFonts w:ascii="Times New Roman" w:hAnsi="Times New Roman"/>
          <w:lang w:val="en-US"/>
        </w:rPr>
        <w:t>Brunell, A. B., Davis, M. S., Schley, D. R., Eng, A. L., van Dulmen, M. H. M., Wester, K. L., &amp; Flannery, D. J. Interpersonal Exploitativeness Scale (IES).</w:t>
      </w:r>
      <w:r>
        <w:rPr>
          <w:rFonts w:ascii="Times New Roman" w:hAnsi="Times New Roman"/>
          <w:i/>
          <w:iCs/>
          <w:lang w:val="en-US"/>
        </w:rPr>
        <w:t xml:space="preserve"> </w:t>
      </w:r>
      <w:r>
        <w:rPr>
          <w:rFonts w:ascii="Times New Roman" w:hAnsi="Times New Roman"/>
          <w:i/>
          <w:iCs/>
        </w:rPr>
        <w:t xml:space="preserve">APA PsycTests </w:t>
      </w:r>
      <w:r>
        <w:rPr>
          <w:rFonts w:ascii="Times New Roman" w:hAnsi="Times New Roman"/>
        </w:rPr>
        <w:t xml:space="preserve">(2013). doi:10.1037/t25501-000 </w:t>
      </w:r>
    </w:p>
    <w:p>
      <w:pPr>
        <w:pStyle w:val="Normal"/>
        <w:numPr>
          <w:ilvl w:val="0"/>
          <w:numId w:val="3"/>
        </w:numPr>
        <w:spacing w:lineRule="auto" w:line="480"/>
        <w:rPr>
          <w:rFonts w:ascii="Times New Roman" w:hAnsi="Times New Roman"/>
        </w:rPr>
      </w:pPr>
      <w:r>
        <w:rPr>
          <w:rFonts w:ascii="Times New Roman" w:hAnsi="Times New Roman"/>
          <w:lang w:val="en-US"/>
        </w:rPr>
        <w:t xml:space="preserve">Perugini, M., Gallucci, M., Presaghi, F. &amp; Ercolani, A. P. The personal norm of reciprocity. </w:t>
      </w:r>
      <w:r>
        <w:rPr>
          <w:rFonts w:ascii="Times New Roman" w:hAnsi="Times New Roman"/>
          <w:i/>
          <w:iCs/>
        </w:rPr>
        <w:t>Eur. J. Pers.</w:t>
      </w:r>
      <w:r>
        <w:rPr>
          <w:rFonts w:ascii="Times New Roman" w:hAnsi="Times New Roman"/>
          <w:b/>
          <w:bCs/>
        </w:rPr>
        <w:t>17</w:t>
      </w:r>
      <w:r>
        <w:rPr>
          <w:rFonts w:ascii="Times New Roman" w:hAnsi="Times New Roman"/>
        </w:rPr>
        <w:t xml:space="preserve">, 251–283 (2003). doi:10.1002/per.474 </w:t>
      </w:r>
    </w:p>
    <w:p>
      <w:pPr>
        <w:pStyle w:val="Normal"/>
        <w:spacing w:lineRule="auto" w:line="480"/>
        <w:ind w:start="720"/>
        <w:rPr>
          <w:rFonts w:ascii="Times New Roman" w:hAnsi="Times New Roman"/>
        </w:rPr>
      </w:pPr>
      <w:r>
        <w:rPr>
          <w:rFonts w:ascii="Times New Roman" w:hAnsi="Times New Roman"/>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134" w:right="1134" w:gutter="0" w:header="1134" w:top="2007" w:footer="1134" w:bottom="1693"/>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Light">
    <w:charset w:val="ee" w:characterSet="windows-1250"/>
    <w:family w:val="swiss"/>
    <w:pitch w:val="variable"/>
  </w:font>
  <w:font w:name="Liberation Sans">
    <w:altName w:val="Arial"/>
    <w:charset w:val="ee" w:characterSet="windows-1250"/>
    <w:family w:val="swiss"/>
    <w:pitch w:val="variable"/>
  </w:font>
  <w:font w:name="Times New Roman">
    <w:charset w:val="ee" w:characterSet="windows-1250"/>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hint="eastAsia"/>
      </w:rPr>
    </w:pPr>
    <w:r>
      <w:rPr>
        <w:rFonts w:hint="eastAsia"/>
      </w:rPr>
    </w:r>
  </w:p>
  <w:p>
    <w:pPr>
      <w:pStyle w:val="Footer"/>
      <w:rPr>
        <w:rFonts w:hint="eastAsia"/>
      </w:rPr>
    </w:pPr>
    <w:r>
      <w:rPr>
        <w:rFonts w:hint="eastAsia"/>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hint="eastAsia"/>
      </w:rPr>
    </w:pPr>
    <w:r>
      <w:rPr>
        <w:rFonts w:hint="eastAsia"/>
      </w:rPr>
    </w:r>
  </w:p>
  <w:p>
    <w:pPr>
      <w:pStyle w:val="Footer"/>
      <w:rPr>
        <w:rFonts w:hint="eastAsia"/>
      </w:rPr>
    </w:pPr>
    <w:r>
      <w:rPr>
        <w:rFonts w:hint="eastAsia"/>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jc w:val="end"/>
      <w:rPr>
        <w:rFonts w:hint="eastAsia"/>
        <w:sz w:val="20"/>
        <w:szCs w:val="20"/>
      </w:rPr>
    </w:pPr>
    <w:bookmarkStart w:id="20" w:name="PageNumWizard_HEADER_Domyślny_styl_stron"/>
    <w:r>
      <w:rPr>
        <w:sz w:val="20"/>
        <w:szCs w:val="20"/>
      </w:rPr>
      <w:fldChar w:fldCharType="begin"/>
    </w:r>
    <w:r>
      <w:rPr>
        <w:sz w:val="20"/>
        <w:szCs w:val="20"/>
      </w:rPr>
      <w:instrText xml:space="preserve"> PAGE </w:instrText>
    </w:r>
    <w:r>
      <w:rPr>
        <w:sz w:val="20"/>
        <w:szCs w:val="20"/>
      </w:rPr>
      <w:fldChar w:fldCharType="separate"/>
    </w:r>
    <w:r>
      <w:rPr>
        <w:sz w:val="20"/>
        <w:szCs w:val="20"/>
      </w:rPr>
      <w:t>0</w:t>
    </w:r>
    <w:r>
      <w:rPr>
        <w:sz w:val="20"/>
        <w:szCs w:val="20"/>
      </w:rPr>
      <w:fldChar w:fldCharType="end"/>
    </w:r>
    <w:bookmarkEnd w:id="20"/>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jc w:val="end"/>
      <w:rPr>
        <w:rFonts w:hint="eastAsia"/>
        <w:sz w:val="20"/>
        <w:szCs w:val="20"/>
      </w:rPr>
    </w:pPr>
    <w:bookmarkStart w:id="21" w:name="PageNumWizard_HEADER_Domyślny_styl_stro1"/>
    <w:r>
      <w:rPr>
        <w:sz w:val="20"/>
        <w:szCs w:val="20"/>
      </w:rPr>
      <w:fldChar w:fldCharType="begin"/>
    </w:r>
    <w:r>
      <w:rPr>
        <w:sz w:val="20"/>
        <w:szCs w:val="20"/>
      </w:rPr>
      <w:instrText xml:space="preserve"> PAGE </w:instrText>
    </w:r>
    <w:r>
      <w:rPr>
        <w:sz w:val="20"/>
        <w:szCs w:val="20"/>
      </w:rPr>
      <w:fldChar w:fldCharType="separate"/>
    </w:r>
    <w:r>
      <w:rPr>
        <w:sz w:val="20"/>
        <w:szCs w:val="20"/>
      </w:rPr>
      <w:t>14</w:t>
    </w:r>
    <w:r>
      <w:rPr>
        <w:sz w:val="20"/>
        <w:szCs w:val="20"/>
      </w:rPr>
      <w:fldChar w:fldCharType="end"/>
    </w:r>
    <w:bookmarkEnd w:id="21"/>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jc w:val="end"/>
      <w:rPr>
        <w:rFonts w:hint="eastAsia"/>
        <w:sz w:val="20"/>
        <w:szCs w:val="20"/>
      </w:rPr>
    </w:pPr>
    <w:bookmarkStart w:id="22" w:name="PageNumWizard_HEADER_Domyślny_styl_stro2"/>
    <w:r>
      <w:rPr>
        <w:sz w:val="20"/>
        <w:szCs w:val="20"/>
      </w:rPr>
      <w:fldChar w:fldCharType="begin"/>
    </w:r>
    <w:r>
      <w:rPr>
        <w:sz w:val="20"/>
        <w:szCs w:val="20"/>
      </w:rPr>
      <w:instrText xml:space="preserve"> PAGE </w:instrText>
    </w:r>
    <w:r>
      <w:rPr>
        <w:sz w:val="20"/>
        <w:szCs w:val="20"/>
      </w:rPr>
      <w:fldChar w:fldCharType="separate"/>
    </w:r>
    <w:r>
      <w:rPr>
        <w:sz w:val="20"/>
        <w:szCs w:val="20"/>
      </w:rPr>
      <w:t>1</w:t>
    </w:r>
    <w:r>
      <w:rPr>
        <w:sz w:val="20"/>
        <w:szCs w:val="20"/>
      </w:rPr>
      <w:fldChar w:fldCharType="end"/>
    </w:r>
    <w:bookmarkEnd w:id="22"/>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50"/>
  <w:defaultTabStop w:val="709"/>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l-PL"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pl-PL" w:eastAsia="zh-CN" w:bidi="hi-IN"/>
    </w:rPr>
  </w:style>
  <w:style w:type="paragraph" w:styleId="Heading1">
    <w:name w:val="heading 1"/>
    <w:basedOn w:val="Normal"/>
    <w:next w:val="Normal"/>
    <w:uiPriority w:val="9"/>
    <w:qFormat/>
    <w:pPr>
      <w:keepNext w:val="true"/>
      <w:keepLines/>
      <w:numPr>
        <w:ilvl w:val="0"/>
        <w:numId w:val="1"/>
      </w:numPr>
      <w:spacing w:before="240" w:after="0"/>
      <w:outlineLvl w:val="0"/>
    </w:pPr>
    <w:rPr>
      <w:rFonts w:ascii="Calibri Light" w:hAnsi="Calibri Light" w:eastAsia="Times New Roman" w:cs="Times New Roman"/>
      <w:color w:val="2F5496"/>
      <w:sz w:val="32"/>
      <w:szCs w:val="32"/>
    </w:rPr>
  </w:style>
  <w:style w:type="paragraph" w:styleId="Heading2">
    <w:name w:val="heading 2"/>
    <w:basedOn w:val="Header"/>
    <w:next w:val="BodyText"/>
    <w:uiPriority w:val="9"/>
    <w:unhideWhenUsed/>
    <w:qFormat/>
    <w:pPr>
      <w:spacing w:before="200" w:after="0"/>
      <w:outlineLvl w:val="1"/>
    </w:pPr>
    <w:rPr>
      <w:rFonts w:ascii="Liberation Serif" w:hAnsi="Liberation Serif" w:eastAsia="NSimSun"/>
      <w:b/>
      <w:bCs/>
      <w:sz w:val="36"/>
      <w:szCs w:val="36"/>
    </w:rPr>
  </w:style>
  <w:style w:type="paragraph" w:styleId="Heading3">
    <w:name w:val="heading 3"/>
    <w:basedOn w:val="Header"/>
    <w:next w:val="BodyText"/>
    <w:uiPriority w:val="9"/>
    <w:unhideWhenUsed/>
    <w:qFormat/>
    <w:pPr>
      <w:spacing w:before="140" w:after="0"/>
      <w:outlineLvl w:val="2"/>
    </w:pPr>
    <w:rPr>
      <w:rFonts w:ascii="Liberation Serif" w:hAnsi="Liberation Serif" w:eastAsia="NSimSun"/>
      <w:b/>
      <w:bCs/>
    </w:rPr>
  </w:style>
  <w:style w:type="character" w:styleId="DefaultParagraphFont" w:default="1">
    <w:name w:val="Default Paragraph Font"/>
    <w:uiPriority w:val="1"/>
    <w:semiHidden/>
    <w:unhideWhenUsed/>
    <w:qFormat/>
    <w:rPr/>
  </w:style>
  <w:style w:type="character" w:styleId="WW8Num21z0" w:customStyle="1">
    <w:name w:val="WW8Num21z0"/>
    <w:qFormat/>
    <w:rPr/>
  </w:style>
  <w:style w:type="character" w:styleId="Emphasis">
    <w:name w:val="Emphasis"/>
    <w:qFormat/>
    <w:rPr>
      <w:i/>
      <w:iCs/>
    </w:rPr>
  </w:style>
  <w:style w:type="character" w:styleId="Hyperlink">
    <w:name w:val="Hyperlink"/>
    <w:uiPriority w:val="99"/>
    <w:rPr>
      <w:color w:val="000080"/>
      <w:u w:val="single"/>
    </w:rPr>
  </w:style>
  <w:style w:type="character" w:styleId="Strong">
    <w:name w:val="Strong"/>
    <w:qFormat/>
    <w:rPr>
      <w:b/>
      <w:bCs/>
    </w:rPr>
  </w:style>
  <w:style w:type="character" w:styleId="Znakinumeracjiuser" w:customStyle="1">
    <w:name w:val="Znaki numeracji (user)"/>
    <w:qFormat/>
    <w:rPr/>
  </w:style>
  <w:style w:type="character" w:styleId="Znakiprzypiswkocowychuser" w:customStyle="1">
    <w:name w:val="Znaki przypisów końcowych (user)"/>
    <w:qFormat/>
    <w:rPr>
      <w:vertAlign w:val="superscript"/>
    </w:rPr>
  </w:style>
  <w:style w:type="character" w:styleId="Znakiprzypiswkocowych" w:customStyle="1">
    <w:name w:val="Znaki przypisów końcowych"/>
    <w:qFormat/>
    <w:rPr>
      <w:vertAlign w:val="superscript"/>
    </w:rPr>
  </w:style>
  <w:style w:type="character" w:styleId="EndnoteReference">
    <w:name w:val="endnote reference"/>
    <w:rPr>
      <w:vertAlign w:val="superscript"/>
    </w:rPr>
  </w:style>
  <w:style w:type="character" w:styleId="czeindeksuuser" w:customStyle="1">
    <w:name w:val="Łącze indeksu (user)"/>
    <w:qFormat/>
    <w:rPr/>
  </w:style>
  <w:style w:type="character" w:styleId="linenumber1" w:customStyle="1">
    <w:name w:val="line number1"/>
    <w:qFormat/>
    <w:rPr/>
  </w:style>
  <w:style w:type="character" w:styleId="CommentReference">
    <w:name w:val="annotation reference"/>
    <w:basedOn w:val="DefaultParagraphFont"/>
    <w:uiPriority w:val="99"/>
    <w:semiHidden/>
    <w:unhideWhenUsed/>
    <w:qFormat/>
    <w:rsid w:val="009d4684"/>
    <w:rPr>
      <w:sz w:val="16"/>
      <w:szCs w:val="16"/>
    </w:rPr>
  </w:style>
  <w:style w:type="character" w:styleId="TekstkomentarzaZnak" w:customStyle="1">
    <w:name w:val="Tekst komentarza Znak"/>
    <w:basedOn w:val="DefaultParagraphFont"/>
    <w:link w:val="CommentText"/>
    <w:uiPriority w:val="99"/>
    <w:qFormat/>
    <w:rsid w:val="009d4684"/>
    <w:rPr>
      <w:rFonts w:cs="Mangal"/>
      <w:sz w:val="20"/>
      <w:szCs w:val="18"/>
    </w:rPr>
  </w:style>
  <w:style w:type="character" w:styleId="TematkomentarzaZnak" w:customStyle="1">
    <w:name w:val="Temat komentarza Znak"/>
    <w:basedOn w:val="TekstkomentarzaZnak"/>
    <w:link w:val="annotationsubject"/>
    <w:uiPriority w:val="99"/>
    <w:semiHidden/>
    <w:qFormat/>
    <w:rsid w:val="009d4684"/>
    <w:rPr>
      <w:rFonts w:cs="Mangal"/>
      <w:b/>
      <w:bCs/>
      <w:sz w:val="20"/>
      <w:szCs w:val="18"/>
    </w:rPr>
  </w:style>
  <w:style w:type="character" w:styleId="LineNumber">
    <w:name w:val="line number"/>
    <w:qFormat/>
    <w:rPr/>
  </w:style>
  <w:style w:type="character" w:styleId="FollowedHyperlink">
    <w:name w:val="FollowedHyperlink"/>
    <w:rPr>
      <w:color w:val="800000"/>
      <w:u w:val="single"/>
    </w:rPr>
  </w:style>
  <w:style w:type="character" w:styleId="czeindeksu" w:customStyle="1">
    <w:name w:val="Łącze indeksu"/>
    <w:qFormat/>
    <w:rPr/>
  </w:style>
  <w:style w:type="paragraph" w:styleId="Nagwek" w:customStyle="1">
    <w:name w:val="Nagłówek"/>
    <w:basedOn w:val="Normal"/>
    <w:next w:val="BodyText"/>
    <w:qFormat/>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Indeks" w:customStyle="1">
    <w:name w:val="Indeks"/>
    <w:basedOn w:val="Normal"/>
    <w:qFormat/>
    <w:pPr>
      <w:suppressLineNumbers/>
    </w:pPr>
    <w:rPr/>
  </w:style>
  <w:style w:type="paragraph" w:styleId="Gwkaistopka" w:customStyle="1">
    <w:name w:val="Główka i stopka"/>
    <w:basedOn w:val="Normal"/>
    <w:qFormat/>
    <w:pPr/>
    <w:rPr/>
  </w:style>
  <w:style w:type="paragraph" w:styleId="Header">
    <w:name w:val="header"/>
    <w:basedOn w:val="Normal"/>
    <w:next w:val="BodyText"/>
    <w:qFormat/>
    <w:pPr>
      <w:keepNext w:val="true"/>
      <w:spacing w:before="240" w:after="120"/>
    </w:pPr>
    <w:rPr>
      <w:rFonts w:ascii="Liberation Sans" w:hAnsi="Liberation Sans" w:eastAsia="Microsoft YaHei"/>
      <w:sz w:val="28"/>
      <w:szCs w:val="28"/>
    </w:rPr>
  </w:style>
  <w:style w:type="paragraph" w:styleId="Indeksuser" w:customStyle="1">
    <w:name w:val="Indeks (user)"/>
    <w:basedOn w:val="Normal"/>
    <w:qFormat/>
    <w:pPr>
      <w:suppressLineNumbers/>
    </w:pPr>
    <w:rPr/>
  </w:style>
  <w:style w:type="paragraph" w:styleId="Gwkaistopkauser" w:customStyle="1">
    <w:name w:val="Główka i stopka (user)"/>
    <w:basedOn w:val="Normal"/>
    <w:qFormat/>
    <w:pPr>
      <w:suppressLineNumbers/>
      <w:tabs>
        <w:tab w:val="clear" w:pos="709"/>
        <w:tab w:val="center" w:pos="7285" w:leader="none"/>
        <w:tab w:val="right" w:pos="14570" w:leader="none"/>
      </w:tabs>
    </w:pPr>
    <w:rPr/>
  </w:style>
  <w:style w:type="paragraph" w:styleId="caption1" w:customStyle="1">
    <w:name w:val="caption1"/>
    <w:basedOn w:val="Normal"/>
    <w:qFormat/>
    <w:pPr>
      <w:suppressLineNumbers/>
      <w:spacing w:before="120" w:after="120"/>
    </w:pPr>
    <w:rPr>
      <w:i/>
      <w:iCs/>
    </w:rPr>
  </w:style>
  <w:style w:type="paragraph" w:styleId="caption11" w:customStyle="1">
    <w:name w:val="caption11"/>
    <w:basedOn w:val="Normal"/>
    <w:qFormat/>
    <w:pPr>
      <w:suppressLineNumbers/>
      <w:spacing w:before="120" w:after="120"/>
    </w:pPr>
    <w:rPr>
      <w:i/>
      <w:iCs/>
    </w:rPr>
  </w:style>
  <w:style w:type="paragraph" w:styleId="NormalWeb">
    <w:name w:val="Normal (Web)"/>
    <w:basedOn w:val="Normal"/>
    <w:qFormat/>
    <w:pPr>
      <w:spacing w:before="280" w:after="280"/>
    </w:pPr>
    <w:rPr/>
  </w:style>
  <w:style w:type="paragraph" w:styleId="Zawartotabeliuser" w:customStyle="1">
    <w:name w:val="Zawartość tabeli (user)"/>
    <w:basedOn w:val="Normal"/>
    <w:qFormat/>
    <w:pPr>
      <w:widowControl w:val="false"/>
      <w:suppressLineNumbers/>
    </w:pPr>
    <w:rPr/>
  </w:style>
  <w:style w:type="paragraph" w:styleId="Nagwektabeliuser" w:customStyle="1">
    <w:name w:val="Nagłówek tabeli (user)"/>
    <w:basedOn w:val="Zawartotabeliuser"/>
    <w:qFormat/>
    <w:pPr>
      <w:jc w:val="center"/>
    </w:pPr>
    <w:rPr>
      <w:b/>
      <w:bCs/>
    </w:rPr>
  </w:style>
  <w:style w:type="paragraph" w:styleId="EndnoteText">
    <w:name w:val="endnote text"/>
    <w:basedOn w:val="Normal"/>
    <w:pPr>
      <w:suppressLineNumbers/>
      <w:ind w:hanging="340" w:start="340"/>
    </w:pPr>
    <w:rPr>
      <w:sz w:val="20"/>
      <w:szCs w:val="20"/>
    </w:rPr>
  </w:style>
  <w:style w:type="paragraph" w:styleId="Subtitle">
    <w:name w:val="Subtitle"/>
    <w:basedOn w:val="Header"/>
    <w:next w:val="BodyText"/>
    <w:uiPriority w:val="11"/>
    <w:qFormat/>
    <w:pPr>
      <w:spacing w:before="60" w:after="120"/>
      <w:jc w:val="center"/>
    </w:pPr>
    <w:rPr>
      <w:sz w:val="36"/>
      <w:szCs w:val="36"/>
    </w:rPr>
  </w:style>
  <w:style w:type="paragraph" w:styleId="normal1" w:customStyle="1">
    <w:name w:val="normal1"/>
    <w:qFormat/>
    <w:pPr>
      <w:widowControl w:val="false"/>
      <w:suppressAutoHyphens w:val="true"/>
      <w:bidi w:val="0"/>
      <w:spacing w:lineRule="auto" w:line="360" w:before="0" w:after="0"/>
      <w:jc w:val="start"/>
    </w:pPr>
    <w:rPr>
      <w:rFonts w:ascii="Times New Roman" w:hAnsi="Times New Roman" w:eastAsia="NSimSun" w:cs="Lucida Sans"/>
      <w:color w:val="auto"/>
      <w:kern w:val="2"/>
      <w:sz w:val="24"/>
      <w:szCs w:val="24"/>
      <w:lang w:bidi="ar-SA" w:val="pl-PL" w:eastAsia="zh-CN"/>
    </w:rPr>
  </w:style>
  <w:style w:type="paragraph" w:styleId="Footer">
    <w:name w:val="footer"/>
    <w:basedOn w:val="Gwkaistopkauser"/>
    <w:pPr/>
    <w:rPr/>
  </w:style>
  <w:style w:type="paragraph" w:styleId="indexheading1" w:customStyle="1">
    <w:name w:val="index heading1"/>
    <w:basedOn w:val="Header"/>
    <w:qFormat/>
    <w:pPr>
      <w:suppressLineNumbers/>
    </w:pPr>
    <w:rPr>
      <w:b/>
      <w:bCs/>
      <w:sz w:val="32"/>
      <w:szCs w:val="32"/>
    </w:rPr>
  </w:style>
  <w:style w:type="paragraph" w:styleId="indexheading2" w:customStyle="1">
    <w:name w:val="index heading2"/>
    <w:basedOn w:val="Header"/>
    <w:qFormat/>
    <w:pPr/>
    <w:rPr/>
  </w:style>
  <w:style w:type="paragraph" w:styleId="IndexHeading">
    <w:name w:val="index heading"/>
    <w:basedOn w:val="Header"/>
    <w:pPr/>
    <w:rPr/>
  </w:style>
  <w:style w:type="paragraph" w:styleId="TOCHeading">
    <w:name w:val="TOC Heading"/>
    <w:basedOn w:val="indexheading1"/>
    <w:uiPriority w:val="39"/>
    <w:qFormat/>
    <w:pPr/>
    <w:rPr/>
  </w:style>
  <w:style w:type="paragraph" w:styleId="TOC1">
    <w:name w:val="toc 1"/>
    <w:basedOn w:val="Indeksuser"/>
    <w:uiPriority w:val="39"/>
    <w:pPr>
      <w:tabs>
        <w:tab w:val="clear" w:pos="709"/>
        <w:tab w:val="right" w:pos="14570" w:leader="dot"/>
      </w:tabs>
    </w:pPr>
    <w:rPr/>
  </w:style>
  <w:style w:type="paragraph" w:styleId="TOC3">
    <w:name w:val="toc 3"/>
    <w:basedOn w:val="Indeksuser"/>
    <w:uiPriority w:val="39"/>
    <w:pPr>
      <w:tabs>
        <w:tab w:val="clear" w:pos="709"/>
        <w:tab w:val="right" w:pos="14003" w:leader="dot"/>
      </w:tabs>
      <w:ind w:start="567"/>
    </w:pPr>
    <w:rPr/>
  </w:style>
  <w:style w:type="paragraph" w:styleId="Default" w:customStyle="1">
    <w:name w:val="Default"/>
    <w:qFormat/>
    <w:pPr>
      <w:widowControl/>
      <w:suppressAutoHyphens w:val="true"/>
      <w:bidi w:val="0"/>
      <w:spacing w:before="0" w:after="0"/>
      <w:jc w:val="start"/>
    </w:pPr>
    <w:rPr>
      <w:rFonts w:ascii="Times New Roman" w:hAnsi="Times New Roman" w:eastAsia="NSimSun" w:cs="Lucida Sans"/>
      <w:color w:val="000000"/>
      <w:kern w:val="2"/>
      <w:sz w:val="24"/>
      <w:szCs w:val="24"/>
      <w:lang w:val="pl-PL" w:eastAsia="zh-CN" w:bidi="hi-IN"/>
    </w:rPr>
  </w:style>
  <w:style w:type="paragraph" w:styleId="Revision">
    <w:name w:val="Revision"/>
    <w:uiPriority w:val="99"/>
    <w:semiHidden/>
    <w:qFormat/>
    <w:rsid w:val="009d4684"/>
    <w:pPr>
      <w:widowControl/>
      <w:suppressAutoHyphens w:val="false"/>
      <w:bidi w:val="0"/>
      <w:spacing w:before="0" w:after="0"/>
      <w:jc w:val="start"/>
    </w:pPr>
    <w:rPr>
      <w:rFonts w:cs="Mangal" w:ascii="Liberation Serif" w:hAnsi="Liberation Serif" w:eastAsia="NSimSun"/>
      <w:color w:val="auto"/>
      <w:kern w:val="2"/>
      <w:sz w:val="24"/>
      <w:szCs w:val="21"/>
      <w:lang w:val="pl-PL" w:eastAsia="zh-CN" w:bidi="hi-IN"/>
    </w:rPr>
  </w:style>
  <w:style w:type="paragraph" w:styleId="CommentText">
    <w:name w:val="annotation text"/>
    <w:basedOn w:val="Normal"/>
    <w:link w:val="TekstkomentarzaZnak"/>
    <w:uiPriority w:val="99"/>
    <w:unhideWhenUsed/>
    <w:qFormat/>
    <w:rsid w:val="009d4684"/>
    <w:pPr/>
    <w:rPr>
      <w:rFonts w:cs="Mangal"/>
      <w:sz w:val="20"/>
      <w:szCs w:val="18"/>
    </w:rPr>
  </w:style>
  <w:style w:type="paragraph" w:styleId="annotationsubject">
    <w:name w:val="annotation subject"/>
    <w:basedOn w:val="CommentText"/>
    <w:next w:val="CommentText"/>
    <w:link w:val="TematkomentarzaZnak"/>
    <w:uiPriority w:val="99"/>
    <w:semiHidden/>
    <w:unhideWhenUsed/>
    <w:qFormat/>
    <w:rsid w:val="009d4684"/>
    <w:pPr/>
    <w:rPr>
      <w:b/>
      <w:bCs/>
    </w:rPr>
  </w:style>
  <w:style w:type="paragraph" w:styleId="Komentarzuser" w:customStyle="1">
    <w:name w:val="Komentarz (user)"/>
    <w:basedOn w:val="Normal"/>
    <w:qFormat/>
    <w:pPr/>
    <w:rPr>
      <w:sz w:val="20"/>
      <w:szCs w:val="20"/>
    </w:rPr>
  </w:style>
  <w:style w:type="paragraph" w:styleId="TOC2">
    <w:name w:val="toc 2"/>
    <w:basedOn w:val="Indeksuser"/>
    <w:uiPriority w:val="39"/>
    <w:pPr>
      <w:tabs>
        <w:tab w:val="clear" w:pos="709"/>
        <w:tab w:val="right" w:pos="9355" w:leader="dot"/>
      </w:tabs>
      <w:ind w:start="283"/>
    </w:pPr>
    <w:rPr/>
  </w:style>
  <w:style w:type="paragraph" w:styleId="NormalnyWeb1" w:customStyle="1">
    <w:name w:val="Normalny (Web)1"/>
    <w:basedOn w:val="Normal"/>
    <w:qFormat/>
    <w:pPr>
      <w:spacing w:before="280" w:after="280"/>
    </w:pPr>
    <w:rPr/>
  </w:style>
  <w:style w:type="numbering" w:styleId="Bezlisty" w:customStyle="1">
    <w:name w:val="Bez listy"/>
    <w:uiPriority w:val="99"/>
    <w:semiHidden/>
    <w:unhideWhenUsed/>
    <w:qFormat/>
  </w:style>
  <w:style w:type="numbering" w:styleId="WW8Num21" w:customStyle="1">
    <w:name w:val="WW8Num21"/>
    <w:qFormat/>
  </w:style>
  <w:style w:type="numbering" w:styleId="Numeracja123user" w:customStyle="1">
    <w:name w:val="Numeracja 123 (user)"/>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ip.uni.wroc.pl/download/attachment/42940/zjawisko-obiektyfikacji-w-relacji-romantycznej-jego-zwiazki-z-percepcja-partnera-i-wlasnej-osoby-ocena-jakosci-relacji-oraz-zachowaniami-wobec-partnera-w-sytuacji-konfliktu-mk.pdf"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1819</TotalTime>
  <Application>LibreOffice/26.2.3.2$Windows_X86_64 LibreOffice_project/70e089b17412e4cb7773e41413306b17a2328c34</Application>
  <AppVersion>15.0000</AppVersion>
  <Pages>14</Pages>
  <Words>2936</Words>
  <Characters>17620</Characters>
  <CharactersWithSpaces>20515</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2024-03-27T19:19:00Z</dcterms:created>
  <dc:creator>Monika Kozłowska</dc:creator>
  <dc:description/>
  <dc:language>pl-PL</dc:language>
  <cp:lastModifiedBy>Monika K</cp:lastModifiedBy>
  <cp:lastPrinted>2025-02-24T08:43:00Z</cp:lastPrinted>
  <dcterms:modified xsi:type="dcterms:W3CDTF">2026-06-13T12:06:17Z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