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89B6C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>4. Ordinal logistic regression analyses using original scores</w:t>
      </w:r>
    </w:p>
    <w:tbl>
      <w:tblPr>
        <w:tblStyle w:val="3"/>
        <w:tblpPr w:leftFromText="180" w:rightFromText="180" w:vertAnchor="page" w:horzAnchor="page" w:tblpX="1714" w:tblpY="1868"/>
        <w:tblOverlap w:val="never"/>
        <w:tblW w:w="8873" w:type="dxa"/>
        <w:tblInd w:w="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1770"/>
        <w:gridCol w:w="1660"/>
        <w:gridCol w:w="2040"/>
      </w:tblGrid>
      <w:tr w14:paraId="4151662B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403" w:type="dxa"/>
            <w:tcBorders>
              <w:left w:val="nil"/>
              <w:bottom w:val="single" w:color="000000" w:themeColor="text1" w:sz="8" w:space="0"/>
              <w:right w:val="nil"/>
            </w:tcBorders>
          </w:tcPr>
          <w:tbl>
            <w:tblPr>
              <w:tblStyle w:val="2"/>
              <w:tblW w:w="0" w:type="auto"/>
              <w:tblCellSpacing w:w="15" w:type="dxa"/>
              <w:tblInd w:w="-4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57"/>
            </w:tblGrid>
            <w:tr w14:paraId="2321252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22484260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default"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kern w:val="0"/>
                      <w:sz w:val="20"/>
                      <w:szCs w:val="20"/>
                      <w:lang w:val="en-US" w:eastAsia="zh-CN" w:bidi="ar"/>
                    </w:rPr>
                    <w:t>Variables</w:t>
                  </w:r>
                </w:p>
              </w:tc>
            </w:tr>
          </w:tbl>
          <w:p w14:paraId="749395C3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</w:p>
        </w:tc>
        <w:tc>
          <w:tcPr>
            <w:tcW w:w="1770" w:type="dxa"/>
            <w:tcBorders>
              <w:left w:val="nil"/>
              <w:bottom w:val="single" w:color="000000" w:themeColor="text1" w:sz="8" w:space="0"/>
              <w:right w:val="nil"/>
            </w:tcBorders>
          </w:tcPr>
          <w:p w14:paraId="19686728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>GQS</w:t>
            </w:r>
          </w:p>
          <w:p w14:paraId="0F405E37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>OR (95% CI)</w:t>
            </w:r>
          </w:p>
        </w:tc>
        <w:tc>
          <w:tcPr>
            <w:tcW w:w="1660" w:type="dxa"/>
            <w:tcBorders>
              <w:left w:val="nil"/>
              <w:bottom w:val="single" w:color="000000" w:themeColor="text1" w:sz="8" w:space="0"/>
              <w:right w:val="nil"/>
            </w:tcBorders>
          </w:tcPr>
          <w:p w14:paraId="22B69591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mDISCERN</w:t>
            </w:r>
          </w:p>
          <w:p w14:paraId="5B8D49C1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OR(95% CI)</w:t>
            </w:r>
          </w:p>
        </w:tc>
        <w:tc>
          <w:tcPr>
            <w:tcW w:w="2040" w:type="dxa"/>
            <w:tcBorders>
              <w:left w:val="nil"/>
              <w:bottom w:val="single" w:color="000000" w:themeColor="text1" w:sz="8" w:space="0"/>
              <w:right w:val="nil"/>
            </w:tcBorders>
          </w:tcPr>
          <w:p w14:paraId="3DDB0D2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JAMA</w:t>
            </w:r>
          </w:p>
          <w:p w14:paraId="74EBD8AA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>OR(95% CI)</w:t>
            </w:r>
          </w:p>
        </w:tc>
      </w:tr>
      <w:tr w14:paraId="7334AFA9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8" w:space="0"/>
              <w:left w:val="nil"/>
              <w:bottom w:val="nil"/>
              <w:right w:val="nil"/>
            </w:tcBorders>
          </w:tcPr>
          <w:p w14:paraId="28C527B0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Uploader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hysician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vs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Non-physician)</w:t>
            </w:r>
          </w:p>
        </w:tc>
        <w:tc>
          <w:tcPr>
            <w:tcW w:w="1770" w:type="dxa"/>
            <w:tcBorders>
              <w:top w:val="single" w:color="000000" w:themeColor="text1" w:sz="8" w:space="0"/>
              <w:left w:val="nil"/>
              <w:bottom w:val="nil"/>
              <w:right w:val="nil"/>
            </w:tcBorders>
            <w:vAlign w:val="center"/>
          </w:tcPr>
          <w:p w14:paraId="6B7273E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11.97 (5.10–28.09)</w:t>
            </w:r>
          </w:p>
        </w:tc>
        <w:tc>
          <w:tcPr>
            <w:tcW w:w="1660" w:type="dxa"/>
            <w:tcBorders>
              <w:top w:val="single" w:color="000000" w:themeColor="text1" w:sz="8" w:space="0"/>
              <w:left w:val="nil"/>
              <w:bottom w:val="nil"/>
              <w:right w:val="nil"/>
            </w:tcBorders>
            <w:vAlign w:val="center"/>
          </w:tcPr>
          <w:p w14:paraId="27242E3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9.88 (4.36–22.41)</w:t>
            </w:r>
          </w:p>
        </w:tc>
        <w:tc>
          <w:tcPr>
            <w:tcW w:w="2040" w:type="dxa"/>
            <w:tcBorders>
              <w:top w:val="single" w:color="000000" w:themeColor="text1" w:sz="8" w:space="0"/>
              <w:left w:val="nil"/>
              <w:bottom w:val="nil"/>
              <w:right w:val="nil"/>
            </w:tcBorders>
            <w:vAlign w:val="center"/>
          </w:tcPr>
          <w:p w14:paraId="4F55D05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46.77 (16.21–134.95)</w:t>
            </w:r>
          </w:p>
        </w:tc>
      </w:tr>
      <w:tr w14:paraId="64CC36B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5EF5C740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 xml:space="preserve">Platform (Bilibili vs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Douyin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2D0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1.08 (0.38–3.11)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DB9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2.06 (0.72–5.88)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7D87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3.26 (1.12–9.55)</w:t>
            </w:r>
          </w:p>
        </w:tc>
      </w:tr>
      <w:tr w14:paraId="46014C14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5841755D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ln(Video length)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E4E1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1.20 (0.87–1.66)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E1FE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1.20 (0.87–1.67)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B93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1.34 (0.97–1.85)</w:t>
            </w:r>
          </w:p>
        </w:tc>
      </w:tr>
      <w:tr w14:paraId="6C6AEC68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1CBA0EFD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ln(Likes)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48BC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0.81 (0.55–1.19)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454B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0.92 (0.63–1.36)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AFB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1.24 (0.83–1.83)</w:t>
            </w:r>
          </w:p>
        </w:tc>
      </w:tr>
      <w:tr w14:paraId="27AEF5DB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177C76D9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ln(Collections)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D62C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1.27 (0.87–1.85)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2C45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1.18 (0.82–1.72)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273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1.00 (0.68–1.47)</w:t>
            </w:r>
          </w:p>
        </w:tc>
      </w:tr>
      <w:tr w14:paraId="4193D2DC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nil"/>
              <w:left w:val="nil"/>
              <w:right w:val="nil"/>
            </w:tcBorders>
          </w:tcPr>
          <w:p w14:paraId="0FD5F7D3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  <w:t>ln(Comments)</w:t>
            </w:r>
          </w:p>
        </w:tc>
        <w:tc>
          <w:tcPr>
            <w:tcW w:w="1770" w:type="dxa"/>
            <w:tcBorders>
              <w:top w:val="nil"/>
              <w:left w:val="nil"/>
              <w:right w:val="nil"/>
            </w:tcBorders>
            <w:vAlign w:val="center"/>
          </w:tcPr>
          <w:p w14:paraId="2A4C0EA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0.98 (0.72–1.34)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vAlign w:val="center"/>
          </w:tcPr>
          <w:p w14:paraId="7E3AE79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0.97 (0.71–1.31)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vAlign w:val="center"/>
          </w:tcPr>
          <w:p w14:paraId="5478945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0.79 (0.58–1.07)</w:t>
            </w:r>
          </w:p>
        </w:tc>
      </w:tr>
    </w:tbl>
    <w:p w14:paraId="493F7B14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Abbreviations: GQS, Global Quality Score; mDISCERN, modified DISCERN; JAMA, Journal of the American Medical Association; OR, odds ratio; CI, confidence interval.</w:t>
      </w:r>
    </w:p>
    <w:p w14:paraId="4E79F546">
      <w:pPr>
        <w:rPr>
          <w:rFonts w:hint="default"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</w:rPr>
        <w:t>Note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:</w:t>
      </w:r>
      <w:r>
        <w:rPr>
          <w:rFonts w:hint="default" w:ascii="Times New Roman" w:hAnsi="Times New Roman" w:cs="Times New Roman"/>
          <w:sz w:val="20"/>
          <w:szCs w:val="20"/>
        </w:rPr>
        <w:t xml:space="preserve"> Multivariable proportional odds ordinal logistic regression models were fitted using the original ordinal scores. OR &gt; 1 indicates higher odds of being in a higher score category. Engagement variables were log-transformed using ln(1+x).</w:t>
      </w:r>
    </w:p>
    <w:p w14:paraId="1BD7218E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3681B"/>
    <w:rsid w:val="00FC4BB5"/>
    <w:rsid w:val="0B301291"/>
    <w:rsid w:val="16E26D4A"/>
    <w:rsid w:val="1E3247C9"/>
    <w:rsid w:val="23AE4FF1"/>
    <w:rsid w:val="272E1C2A"/>
    <w:rsid w:val="27DA0163"/>
    <w:rsid w:val="29393688"/>
    <w:rsid w:val="38B90269"/>
    <w:rsid w:val="3BB5271A"/>
    <w:rsid w:val="42A930FC"/>
    <w:rsid w:val="43F67E98"/>
    <w:rsid w:val="445F3190"/>
    <w:rsid w:val="44616A7C"/>
    <w:rsid w:val="4A82361C"/>
    <w:rsid w:val="508D5535"/>
    <w:rsid w:val="578F1CC6"/>
    <w:rsid w:val="74FA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865</Characters>
  <Lines>0</Lines>
  <Paragraphs>0</Paragraphs>
  <TotalTime>1</TotalTime>
  <ScaleCrop>false</ScaleCrop>
  <LinksUpToDate>false</LinksUpToDate>
  <CharactersWithSpaces>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2026-02-20T09:23:00Z</dcterms:created>
  <dc:creator>86151</dc:creator>
  <cp:lastModifiedBy>bingdian</cp:lastModifiedBy>
  <dcterms:modified xsi:type="dcterms:W3CDTF">2026-06-29T06:06:09Z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eyJoZGlkIjoiZDFiMTM2MmZkNTBjZTFlNDhmNTVhYmQ0YTVmOTdjMzgiLCJ1c2VySWQiOiIxOTk3NDI1NSJ9</vt:lpwstr>
  </property>
  <property fmtid="{D5CDD505-2E9C-101B-9397-08002B2CF9AE}" pid="4" name="ICV">
    <vt:lpwstr>D2C9CD64FDE64347A2109817A6177934_12</vt:lpwstr>
  </property>
</Properties>
</file>