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04D6D">
      <w:pPr>
        <w:rPr>
          <w:rFonts w:hint="default" w:ascii="Times New Roman" w:hAnsi="Times New Roman" w:cs="Times New Roman"/>
          <w:b w:val="0"/>
          <w:bCs/>
          <w:sz w:val="18"/>
          <w:szCs w:val="18"/>
        </w:rPr>
      </w:pPr>
      <w:r>
        <w:rPr>
          <w:rFonts w:hint="default" w:ascii="Times New Roman" w:hAnsi="Times New Roman" w:cs="Times New Roman"/>
          <w:b w:val="0"/>
          <w:bCs/>
          <w:sz w:val="18"/>
          <w:szCs w:val="18"/>
        </w:rPr>
        <w:t>Supplementary Table S</w:t>
      </w:r>
      <w:r>
        <w:rPr>
          <w:rFonts w:hint="default" w:ascii="Times New Roman" w:hAnsi="Times New Roman" w:eastAsia="宋体" w:cs="Times New Roman"/>
          <w:b w:val="0"/>
          <w:bCs/>
          <w:sz w:val="18"/>
          <w:szCs w:val="18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/>
          <w:sz w:val="18"/>
          <w:szCs w:val="18"/>
        </w:rPr>
        <w:t>. Regression diagnostics for the multivariable logistic regression models</w:t>
      </w:r>
    </w:p>
    <w:p w14:paraId="51E05B8D">
      <w:pPr>
        <w:rPr>
          <w:rFonts w:hint="default" w:ascii="Times New Roman" w:hAnsi="Times New Roman" w:cs="Times New Roman"/>
          <w:b w:val="0"/>
          <w:bCs/>
          <w:sz w:val="18"/>
          <w:szCs w:val="18"/>
        </w:rPr>
      </w:pPr>
      <w:r>
        <w:rPr>
          <w:rFonts w:hint="default" w:ascii="Times New Roman" w:hAnsi="Times New Roman" w:cs="Times New Roman"/>
          <w:b w:val="0"/>
          <w:bCs/>
          <w:sz w:val="18"/>
          <w:szCs w:val="18"/>
        </w:rPr>
        <w:t>Panel A. Multicollinearity diagnostics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4"/>
        <w:gridCol w:w="5184"/>
      </w:tblGrid>
      <w:tr w14:paraId="761F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8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DE926BA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518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055012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VIF</w:t>
            </w:r>
          </w:p>
        </w:tc>
      </w:tr>
      <w:tr w14:paraId="0FB0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8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9FFA2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Uploader (</w:t>
            </w:r>
            <w:r>
              <w:rPr>
                <w:rFonts w:hint="eastAsia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 xml:space="preserve">hysician vs </w:t>
            </w:r>
            <w:r>
              <w:rPr>
                <w:rFonts w:hint="eastAsia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on-physician)</w:t>
            </w:r>
          </w:p>
        </w:tc>
        <w:tc>
          <w:tcPr>
            <w:tcW w:w="518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EC46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1.50</w:t>
            </w:r>
          </w:p>
        </w:tc>
      </w:tr>
      <w:tr w14:paraId="7312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B810B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 xml:space="preserve">Platform (Bilibili vs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Douyin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7911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2.94</w:t>
            </w:r>
          </w:p>
        </w:tc>
      </w:tr>
      <w:tr w14:paraId="5CFAE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5AFCA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ln(1 + video length, seconds)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ADD8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1.97</w:t>
            </w:r>
          </w:p>
        </w:tc>
      </w:tr>
      <w:tr w14:paraId="07EAF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4259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ln(1 + likes)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BACDB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12.82</w:t>
            </w:r>
          </w:p>
        </w:tc>
      </w:tr>
      <w:tr w14:paraId="7785B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C9EA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ln(1 + collections)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B164D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6.69</w:t>
            </w:r>
          </w:p>
        </w:tc>
      </w:tr>
      <w:tr w14:paraId="72D5B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8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4E6069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ln(1 + comments)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A75FD5A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6.73</w:t>
            </w:r>
          </w:p>
        </w:tc>
      </w:tr>
    </w:tbl>
    <w:p w14:paraId="3E64CD9A">
      <w:pPr>
        <w:rPr>
          <w:rFonts w:hint="default" w:ascii="Times New Roman" w:hAnsi="Times New Roman" w:cs="Times New Roman"/>
          <w:b w:val="0"/>
          <w:bCs/>
          <w:sz w:val="18"/>
          <w:szCs w:val="18"/>
        </w:rPr>
      </w:pPr>
    </w:p>
    <w:p w14:paraId="79620FF0">
      <w:pPr>
        <w:rPr>
          <w:rFonts w:hint="default" w:ascii="Times New Roman" w:hAnsi="Times New Roman" w:cs="Times New Roman"/>
          <w:b w:val="0"/>
          <w:bCs/>
          <w:sz w:val="18"/>
          <w:szCs w:val="18"/>
        </w:rPr>
      </w:pPr>
      <w:r>
        <w:rPr>
          <w:rFonts w:hint="default" w:ascii="Times New Roman" w:hAnsi="Times New Roman" w:cs="Times New Roman"/>
          <w:b w:val="0"/>
          <w:bCs/>
          <w:sz w:val="18"/>
          <w:szCs w:val="18"/>
        </w:rPr>
        <w:t>Panel B. Model diagnostics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750"/>
        <w:gridCol w:w="850"/>
        <w:gridCol w:w="1010"/>
        <w:gridCol w:w="950"/>
        <w:gridCol w:w="1520"/>
        <w:gridCol w:w="1476"/>
        <w:gridCol w:w="752"/>
        <w:gridCol w:w="986"/>
        <w:gridCol w:w="1073"/>
      </w:tblGrid>
      <w:tr w14:paraId="2B7F2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496EAA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4C6BAA6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Events, n/N (%)</w:t>
            </w: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AAF579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Non-events, n/N (%)</w:t>
            </w:r>
          </w:p>
        </w:tc>
        <w:tc>
          <w:tcPr>
            <w:tcW w:w="101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840F0D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Model converged</w:t>
            </w:r>
          </w:p>
        </w:tc>
        <w:tc>
          <w:tcPr>
            <w:tcW w:w="9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BDC278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Complete separation</w:t>
            </w:r>
          </w:p>
        </w:tc>
        <w:tc>
          <w:tcPr>
            <w:tcW w:w="15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E9CA32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Hosmer–Lemeshow χ² (df)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DC18FD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Hosmer–Lemeshow P value</w:t>
            </w:r>
          </w:p>
        </w:tc>
        <w:tc>
          <w:tcPr>
            <w:tcW w:w="7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41B90B8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c-statistic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213B2C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Adjusted predicted probability if physician-generated (%)</w:t>
            </w:r>
          </w:p>
        </w:tc>
        <w:tc>
          <w:tcPr>
            <w:tcW w:w="10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7050B4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Adjusted predicted probability if non-physician-generated (%)</w:t>
            </w:r>
          </w:p>
        </w:tc>
      </w:tr>
      <w:tr w14:paraId="4B547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D3A8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GQS ≥3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DCA9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51/165 (30.9)</w:t>
            </w: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13C7B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114/165 (69.1)</w:t>
            </w:r>
          </w:p>
        </w:tc>
        <w:tc>
          <w:tcPr>
            <w:tcW w:w="101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92A9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5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5D3F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2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592FC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12.12 (8)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B8AB2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7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D9D23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E513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68.4</w:t>
            </w:r>
          </w:p>
        </w:tc>
        <w:tc>
          <w:tcPr>
            <w:tcW w:w="107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08AD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14.9</w:t>
            </w:r>
          </w:p>
        </w:tc>
      </w:tr>
      <w:tr w14:paraId="44E76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8C65F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mDISCERN ≥3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097A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32/165 (19.4)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BBFB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133/165 (80.6)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771E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87B6C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F79C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7.02 (8)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57A1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0.535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56B6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0.793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4587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C0F56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13.6</w:t>
            </w:r>
          </w:p>
        </w:tc>
      </w:tr>
      <w:tr w14:paraId="2578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A5228D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JAMA ≥2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B26E883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76/165 (46.1)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9C757C8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89/165 (53.9)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F00598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A57308D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A876853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5.58 (8)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6E65FC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0.694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B02079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40125D8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92.3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93045E2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25.0</w:t>
            </w:r>
          </w:p>
        </w:tc>
      </w:tr>
    </w:tbl>
    <w:p w14:paraId="230BEA12">
      <w:pPr>
        <w:spacing w:after="80"/>
        <w:rPr>
          <w:rFonts w:hint="default" w:ascii="Times New Roman" w:hAnsi="Times New Roman" w:cs="Times New Roman"/>
          <w:b w:val="0"/>
          <w:bCs/>
          <w:sz w:val="18"/>
          <w:szCs w:val="18"/>
        </w:rPr>
      </w:pPr>
      <w:r>
        <w:rPr>
          <w:rFonts w:hint="default" w:ascii="Times New Roman" w:hAnsi="Times New Roman" w:cs="Times New Roman"/>
          <w:b w:val="0"/>
          <w:bCs/>
          <w:sz w:val="18"/>
          <w:szCs w:val="18"/>
        </w:rPr>
        <w:t>Abbreviations: VIF, variance inflation factor; GQS, Global Quality Score; mDISCERN, modified DISCERN; JAMA, Journal of the American Medical Association; CI, confidence interval.</w:t>
      </w:r>
    </w:p>
    <w:p w14:paraId="0BBDE351">
      <w:pPr>
        <w:spacing w:after="160"/>
        <w:rPr>
          <w:rFonts w:hint="default" w:ascii="Times New Roman" w:hAnsi="Times New Roman" w:cs="Times New Roman"/>
          <w:b w:val="0"/>
          <w:bCs/>
          <w:sz w:val="18"/>
          <w:szCs w:val="18"/>
        </w:rPr>
      </w:pPr>
      <w:r>
        <w:rPr>
          <w:rFonts w:hint="default" w:ascii="Times New Roman" w:hAnsi="Times New Roman" w:cs="Times New Roman"/>
          <w:b w:val="0"/>
          <w:bCs/>
          <w:sz w:val="18"/>
          <w:szCs w:val="18"/>
        </w:rPr>
        <w:t>Note</w:t>
      </w:r>
      <w:r>
        <w:rPr>
          <w:rFonts w:hint="eastAsia" w:eastAsia="宋体" w:cs="Times New Roman"/>
          <w:b w:val="0"/>
          <w:bCs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cs="Times New Roman"/>
          <w:b w:val="0"/>
          <w:bCs/>
          <w:sz w:val="18"/>
          <w:szCs w:val="18"/>
        </w:rPr>
        <w:t xml:space="preserve"> Multivariable logistic regression models used the same predictors as Table 4. Continuous predictors were log-transformed using ln(1+x). The Hosmer–Lemeshow test was calculated using deciles of predicted risk. Adjusted predicted probabilities were estimated by marginal standardization, setting uploader type to physician-generated or non-physician-g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18"/>
          <w:szCs w:val="18"/>
        </w:rPr>
        <w:t>enerated.</w:t>
      </w:r>
    </w:p>
    <w:p w14:paraId="156BBB0A">
      <w:pPr>
        <w:rPr>
          <w:rFonts w:hint="default" w:ascii="Times New Roman" w:hAnsi="Times New Roman" w:cs="Times New Roman"/>
          <w:sz w:val="18"/>
          <w:szCs w:val="18"/>
        </w:rPr>
      </w:pPr>
    </w:p>
    <w:sectPr>
      <w:pgSz w:w="12240" w:h="15840"/>
      <w:pgMar w:top="1152" w:right="936" w:bottom="1152" w:left="936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lex Brush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ex Brush">
    <w:panose1 w:val="02000400000000000000"/>
    <w:charset w:val="00"/>
    <w:family w:val="auto"/>
    <w:pitch w:val="default"/>
    <w:sig w:usb0="800000AF" w:usb1="5000204A" w:usb2="00000000" w:usb3="00000000" w:csb0="200000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18E4864"/>
    <w:rsid w:val="15666A49"/>
    <w:rsid w:val="1C6F5F63"/>
    <w:rsid w:val="36903F57"/>
    <w:rsid w:val="43E048FB"/>
    <w:rsid w:val="4B481EFF"/>
    <w:rsid w:val="51F568D8"/>
    <w:rsid w:val="61000D35"/>
    <w:rsid w:val="6753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1226</Characters>
  <Lines>0</Lines>
  <Paragraphs>0</Paragraphs>
  <TotalTime>2</TotalTime>
  <ScaleCrop>false</ScaleCrop>
  <LinksUpToDate>false</LinksUpToDate>
  <CharactersWithSpaces>1359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bingdian</cp:lastModifiedBy>
  <dcterms:modified xsi:type="dcterms:W3CDTF">2026-06-29T06:06:10Z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eyJoZGlkIjoiZDFiMTM2MmZkNTBjZTFlNDhmNTVhYmQ0YTVmOTdjMzgiLCJ1c2VySWQiOiIxOTk3NDI1NSJ9</vt:lpwstr>
  </property>
  <property fmtid="{D5CDD505-2E9C-101B-9397-08002B2CF9AE}" pid="3" name="KSOProductBuildVer">
    <vt:lpwstr>2052-12.1.0.26895</vt:lpwstr>
  </property>
  <property fmtid="{D5CDD505-2E9C-101B-9397-08002B2CF9AE}" pid="4" name="ICV">
    <vt:lpwstr>01EBF169109046069010B190EBA162A0_12</vt:lpwstr>
  </property>
</Properties>
</file>