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E68BB">
      <w:pPr>
        <w:spacing w:before="0" w:after="120"/>
      </w:pPr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 xml:space="preserve">Table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S</w:t>
      </w:r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>3.</w:t>
      </w:r>
      <w:bookmarkStart w:id="0" w:name="_GoBack"/>
      <w:bookmarkEnd w:id="0"/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 xml:space="preserve"> </w:t>
      </w:r>
      <w:r>
        <w:rPr>
          <w:rFonts w:hint="eastAsia" w:eastAsia="宋体" w:cs="Times New Roman"/>
          <w:b w:val="0"/>
          <w:bCs w:val="0"/>
          <w:sz w:val="22"/>
          <w:szCs w:val="22"/>
          <w:lang w:val="en-US" w:eastAsia="zh-CN"/>
        </w:rPr>
        <w:t>The Journal of the American Medical Association (JAMA) benchmark criteria.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505"/>
        <w:gridCol w:w="6057"/>
      </w:tblGrid>
      <w:tr w14:paraId="64D0B9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top w:val="single" w:color="auto" w:sz="12" w:space="0"/>
              <w:bottom w:val="single" w:color="auto" w:sz="12" w:space="0"/>
            </w:tcBorders>
          </w:tcPr>
          <w:p w14:paraId="2DC3DAC3">
            <w:pPr>
              <w:widowControl w:val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Score*</w:t>
            </w:r>
          </w:p>
        </w:tc>
        <w:tc>
          <w:tcPr>
            <w:tcW w:w="4437" w:type="pct"/>
            <w:gridSpan w:val="2"/>
            <w:tcBorders>
              <w:top w:val="single" w:color="auto" w:sz="12" w:space="0"/>
              <w:bottom w:val="single" w:color="auto" w:sz="12" w:space="0"/>
            </w:tcBorders>
          </w:tcPr>
          <w:p w14:paraId="4DAC449A">
            <w:pPr>
              <w:widowControl w:val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Score component</w:t>
            </w:r>
          </w:p>
        </w:tc>
      </w:tr>
      <w:tr w14:paraId="5C250F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top w:val="single" w:color="auto" w:sz="12" w:space="0"/>
              <w:bottom w:val="nil"/>
            </w:tcBorders>
          </w:tcPr>
          <w:p w14:paraId="3656859A">
            <w:pPr>
              <w:widowControl w:val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 score</w:t>
            </w:r>
          </w:p>
        </w:tc>
        <w:tc>
          <w:tcPr>
            <w:tcW w:w="883" w:type="pct"/>
            <w:tcBorders>
              <w:top w:val="single" w:color="auto" w:sz="12" w:space="0"/>
              <w:bottom w:val="nil"/>
            </w:tcBorders>
          </w:tcPr>
          <w:p w14:paraId="305032CC">
            <w:pPr>
              <w:widowControl w:val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Authorship</w:t>
            </w:r>
          </w:p>
        </w:tc>
        <w:tc>
          <w:tcPr>
            <w:tcW w:w="3554" w:type="pct"/>
            <w:tcBorders>
              <w:top w:val="single" w:color="auto" w:sz="12" w:space="0"/>
              <w:bottom w:val="nil"/>
            </w:tcBorders>
          </w:tcPr>
          <w:p w14:paraId="0FB98B63">
            <w:pPr>
              <w:widowControl w:val="0"/>
              <w:jc w:val="both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Author and contributor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credentials and their affiliations should be provided.</w:t>
            </w:r>
          </w:p>
        </w:tc>
      </w:tr>
      <w:tr w14:paraId="742161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3" w:type="pct"/>
            <w:tcBorders>
              <w:top w:val="nil"/>
              <w:bottom w:val="nil"/>
            </w:tcBorders>
          </w:tcPr>
          <w:p w14:paraId="14C45D16">
            <w:pPr>
              <w:widowControl w:val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 score</w:t>
            </w:r>
          </w:p>
        </w:tc>
        <w:tc>
          <w:tcPr>
            <w:tcW w:w="883" w:type="pct"/>
            <w:tcBorders>
              <w:top w:val="nil"/>
              <w:bottom w:val="nil"/>
            </w:tcBorders>
          </w:tcPr>
          <w:p w14:paraId="4C33D4C1">
            <w:pPr>
              <w:widowControl w:val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Attribution</w:t>
            </w:r>
          </w:p>
        </w:tc>
        <w:tc>
          <w:tcPr>
            <w:tcW w:w="3554" w:type="pct"/>
            <w:tcBorders>
              <w:top w:val="nil"/>
              <w:bottom w:val="nil"/>
            </w:tcBorders>
          </w:tcPr>
          <w:p w14:paraId="7B75E00E">
            <w:pPr>
              <w:widowControl w:val="0"/>
              <w:jc w:val="both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Clearly lists all copyright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information and states references and sources for content.</w:t>
            </w:r>
          </w:p>
        </w:tc>
      </w:tr>
      <w:tr w14:paraId="40F8EF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top w:val="nil"/>
              <w:bottom w:val="nil"/>
            </w:tcBorders>
          </w:tcPr>
          <w:p w14:paraId="3F994746">
            <w:pPr>
              <w:widowControl w:val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 score</w:t>
            </w:r>
          </w:p>
        </w:tc>
        <w:tc>
          <w:tcPr>
            <w:tcW w:w="883" w:type="pct"/>
            <w:tcBorders>
              <w:top w:val="nil"/>
              <w:bottom w:val="nil"/>
            </w:tcBorders>
          </w:tcPr>
          <w:p w14:paraId="76501920">
            <w:pPr>
              <w:widowControl w:val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Currency</w:t>
            </w:r>
          </w:p>
        </w:tc>
        <w:tc>
          <w:tcPr>
            <w:tcW w:w="3554" w:type="pct"/>
            <w:tcBorders>
              <w:top w:val="nil"/>
              <w:bottom w:val="nil"/>
            </w:tcBorders>
          </w:tcPr>
          <w:p w14:paraId="79E0D283">
            <w:pPr>
              <w:widowControl w:val="0"/>
              <w:jc w:val="both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Initial date of posted content and subsequent updates to content should be provided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.</w:t>
            </w:r>
          </w:p>
        </w:tc>
      </w:tr>
      <w:tr w14:paraId="39BEB6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top w:val="nil"/>
              <w:bottom w:val="single" w:color="auto" w:sz="12" w:space="0"/>
            </w:tcBorders>
          </w:tcPr>
          <w:p w14:paraId="29049649">
            <w:pPr>
              <w:widowControl w:val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 score</w:t>
            </w:r>
          </w:p>
        </w:tc>
        <w:tc>
          <w:tcPr>
            <w:tcW w:w="883" w:type="pct"/>
            <w:tcBorders>
              <w:top w:val="nil"/>
              <w:bottom w:val="single" w:color="auto" w:sz="12" w:space="0"/>
            </w:tcBorders>
          </w:tcPr>
          <w:p w14:paraId="300648E2">
            <w:pPr>
              <w:widowControl w:val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Disclosure</w:t>
            </w:r>
          </w:p>
        </w:tc>
        <w:tc>
          <w:tcPr>
            <w:tcW w:w="3554" w:type="pct"/>
            <w:tcBorders>
              <w:top w:val="nil"/>
              <w:bottom w:val="single" w:color="auto" w:sz="12" w:space="0"/>
            </w:tcBorders>
          </w:tcPr>
          <w:p w14:paraId="7AC02E57">
            <w:pPr>
              <w:widowControl w:val="0"/>
              <w:jc w:val="both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Conflicts of interest, funding, sponsorship, advertising, support, and video ownership should be fully disclosed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.</w:t>
            </w:r>
          </w:p>
        </w:tc>
      </w:tr>
    </w:tbl>
    <w:p w14:paraId="64784977">
      <w:pPr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*The criteria of each aspect were scored separately, and 1 point for each criterion with</w:t>
      </w: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a total score of 4 points.</w:t>
      </w:r>
    </w:p>
    <w:p w14:paraId="6509AC8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63129"/>
    <w:rsid w:val="0B917709"/>
    <w:rsid w:val="13DF5603"/>
    <w:rsid w:val="2A692E43"/>
    <w:rsid w:val="2BA271EA"/>
    <w:rsid w:val="49824B6E"/>
    <w:rsid w:val="5BD11D25"/>
    <w:rsid w:val="5FCB151A"/>
    <w:rsid w:val="621F6C15"/>
    <w:rsid w:val="7155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3"/>
    <w:basedOn w:val="2"/>
    <w:autoRedefine/>
    <w:qFormat/>
    <w:uiPriority w:val="39"/>
    <w:pPr>
      <w:widowControl w:val="0"/>
      <w:jc w:val="both"/>
    </w:pPr>
    <w:rPr>
      <w:rFonts w:ascii="Calibri" w:hAnsi="Calibri" w:eastAsia="宋体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565</Characters>
  <Lines>0</Lines>
  <Paragraphs>0</Paragraphs>
  <TotalTime>1</TotalTime>
  <ScaleCrop>false</ScaleCrop>
  <LinksUpToDate>false</LinksUpToDate>
  <CharactersWithSpaces>646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2025-08-06T11:45:00Z</dcterms:created>
  <dc:creator>Administrator</dc:creator>
  <cp:lastModifiedBy>bingdian</cp:lastModifiedBy>
  <dcterms:modified xsi:type="dcterms:W3CDTF">2026-03-25T13:22:11Z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eyJoZGlkIjoiZDFiMTM2MmZkNTBjZTFlNDhmNTVhYmQ0YTVmOTdjMzgiLCJ1c2VySWQiOiIxOTk3NDI1NSJ9</vt:lpwstr>
  </property>
  <property fmtid="{D5CDD505-2E9C-101B-9397-08002B2CF9AE}" pid="4" name="ICV">
    <vt:lpwstr>A2C16890FF9849E5BA1369DF09D11ECA_13</vt:lpwstr>
  </property>
</Properties>
</file>