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49C91">
      <w:pPr>
        <w:spacing w:after="120"/>
        <w:jc w:val="center"/>
      </w:pPr>
      <w:r>
        <w:rPr>
          <w:rFonts w:ascii="Times New Roman" w:hAnsi="Times New Roman"/>
          <w:b/>
          <w:i w:val="0"/>
          <w:color w:val="000000"/>
          <w:sz w:val="36"/>
          <w:u w:val="none"/>
        </w:rPr>
        <w:t>Supplementary Information</w:t>
      </w:r>
    </w:p>
    <w:p w14:paraId="3E3C129D">
      <w:pPr>
        <w:jc w:val="center"/>
      </w:pPr>
      <w:r>
        <w:rPr>
          <w:rFonts w:ascii="Times New Roman" w:hAnsi="Times New Roman"/>
          <w:i w:val="0"/>
          <w:color w:val="000000"/>
          <w:sz w:val="22"/>
          <w:u w:val="none"/>
        </w:rPr>
        <w:t>Gender, Parenthood, Pay, Working Time, and Organizational Authority among Social Workers in China</w:t>
      </w:r>
    </w:p>
    <w:p w14:paraId="7CE7C1D1">
      <w:r>
        <w:rPr>
          <w:rFonts w:ascii="Times New Roman" w:hAnsi="Times New Roman"/>
          <w:i w:val="0"/>
          <w:color w:val="000000"/>
          <w:sz w:val="20"/>
          <w:u w:val="none"/>
        </w:rPr>
        <w:t>This supplement reports sample construction, variable coding, robustness checks, direct contrasts, and exploratory heterogeneity for the revised manuscript.</w:t>
      </w:r>
    </w:p>
    <w:p w14:paraId="1AB7357C">
      <w:pPr>
        <w:keepNext/>
        <w:spacing w:before="120" w:after="60"/>
      </w:pPr>
      <w:r>
        <w:rPr>
          <w:rFonts w:ascii="Times New Roman" w:hAnsi="Times New Roman"/>
          <w:b/>
          <w:i w:val="0"/>
          <w:color w:val="000000"/>
          <w:sz w:val="19"/>
          <w:u w:val="none"/>
        </w:rPr>
        <w:t>Supplementary Table S1A. Sequential construction of the common labor sample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3289"/>
        <w:gridCol w:w="3289"/>
      </w:tblGrid>
      <w:tr w14:paraId="144DC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62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8C5EC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Stage</w:t>
            </w:r>
          </w:p>
        </w:tc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8399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 xml:space="preserve">Remaining 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16"/>
                <w:u w:val="none"/>
              </w:rPr>
              <w:t>N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959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Excluded at stage</w:t>
            </w:r>
          </w:p>
        </w:tc>
      </w:tr>
      <w:tr w14:paraId="7225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2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1D22A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Combined individual records</w:t>
            </w:r>
          </w:p>
        </w:tc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24AD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6,776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8C7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0</w:t>
            </w:r>
          </w:p>
        </w:tc>
      </w:tr>
      <w:tr w14:paraId="0ED37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2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DCCBB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Known sex</w:t>
            </w:r>
          </w:p>
        </w:tc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2868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6,774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0522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</w:t>
            </w:r>
          </w:p>
        </w:tc>
      </w:tr>
      <w:tr w14:paraId="6B81E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2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E687B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One of six prespecified gender-marriage-parenthood groups</w:t>
            </w:r>
          </w:p>
        </w:tc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FAC6A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6,525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AFFB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249</w:t>
            </w:r>
          </w:p>
        </w:tc>
      </w:tr>
      <w:tr w14:paraId="555DD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2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C8791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Age 18-80 observed</w:t>
            </w:r>
          </w:p>
        </w:tc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6EE0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6,505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385B0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20</w:t>
            </w:r>
          </w:p>
        </w:tc>
      </w:tr>
      <w:tr w14:paraId="618B8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2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C7EC9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Education, qualification, tenure, city, and source observed</w:t>
            </w:r>
          </w:p>
        </w:tc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288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6,443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8AAD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62</w:t>
            </w:r>
          </w:p>
        </w:tc>
      </w:tr>
      <w:tr w14:paraId="405B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2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6A8C6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Positive in-range salary and hours; hourly wage observed</w:t>
            </w:r>
          </w:p>
        </w:tc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D769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6,144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8EA4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299</w:t>
            </w:r>
          </w:p>
        </w:tc>
      </w:tr>
      <w:tr w14:paraId="4F312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2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41CE2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Management and supervisor indicators observed</w:t>
            </w:r>
          </w:p>
        </w:tc>
        <w:tc>
          <w:tcPr>
            <w:tcW w:w="13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9D36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6,102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B1D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42</w:t>
            </w:r>
          </w:p>
        </w:tc>
      </w:tr>
    </w:tbl>
    <w:p w14:paraId="7494D573">
      <w:pPr>
        <w:spacing w:before="40" w:after="100"/>
      </w:pPr>
      <w:r>
        <w:rPr>
          <w:rFonts w:ascii="Times New Roman" w:hAnsi="Times New Roman"/>
          <w:i w:val="0"/>
          <w:color w:val="000000"/>
          <w:sz w:val="17"/>
          <w:u w:val="none"/>
        </w:rPr>
        <w:t>Note. Counts are sequential. The final sample is used for all hourly-wage, weekly-hours, and monthly-salary models.</w:t>
      </w:r>
    </w:p>
    <w:p w14:paraId="568CD581">
      <w:pPr>
        <w:keepNext/>
        <w:spacing w:before="120" w:after="60"/>
      </w:pPr>
      <w:r>
        <w:rPr>
          <w:rFonts w:ascii="Times New Roman" w:hAnsi="Times New Roman"/>
          <w:b/>
          <w:i w:val="0"/>
          <w:color w:val="000000"/>
          <w:sz w:val="19"/>
          <w:u w:val="none"/>
        </w:rPr>
        <w:t>Supplementary Table S1B. Gender-marriage-parenthood group counts by analytic sample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32D8F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C335F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Group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863C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Full classified file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6628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Common labor sample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C06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Common hierarchy sample</w:t>
            </w:r>
          </w:p>
        </w:tc>
      </w:tr>
      <w:tr w14:paraId="02B5F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C03C1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Unmarried childless men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249E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743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EE0D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692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92F9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729</w:t>
            </w:r>
          </w:p>
        </w:tc>
      </w:tr>
      <w:tr w14:paraId="3876F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C1C2D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Married childless men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B519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163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7D0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152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16DB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160</w:t>
            </w:r>
          </w:p>
        </w:tc>
      </w:tr>
      <w:tr w14:paraId="34800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F6D6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Fathers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DE7C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486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6D9E0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449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36C7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471</w:t>
            </w:r>
          </w:p>
        </w:tc>
      </w:tr>
      <w:tr w14:paraId="16CB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28887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Unmarried childless women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7B61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2,403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BDB5E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2,270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9478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2,376</w:t>
            </w:r>
          </w:p>
        </w:tc>
      </w:tr>
      <w:tr w14:paraId="126E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B942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Married childless women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538E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569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25994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533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8E0A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556</w:t>
            </w:r>
          </w:p>
        </w:tc>
      </w:tr>
      <w:tr w14:paraId="5CACC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8FB5B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Mothers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1819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2,161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106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2,006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718D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2,103</w:t>
            </w:r>
          </w:p>
        </w:tc>
      </w:tr>
      <w:tr w14:paraId="25FB5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3CC2A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Total classified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99A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6,525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F978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6,102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398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6,395</w:t>
            </w:r>
          </w:p>
        </w:tc>
      </w:tr>
      <w:tr w14:paraId="075FE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D77C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Women / men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7A3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5,343 / 1,431 in full file</w:t>
            </w:r>
          </w:p>
        </w:tc>
        <w:tc>
          <w:tcPr>
            <w:tcW w:w="201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E4D2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4,809 / 1,293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251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5,035 / 1,360</w:t>
            </w:r>
          </w:p>
        </w:tc>
      </w:tr>
    </w:tbl>
    <w:p w14:paraId="53207950">
      <w:pPr>
        <w:spacing w:before="40" w:after="100"/>
      </w:pPr>
      <w:r>
        <w:rPr>
          <w:rFonts w:ascii="Times New Roman" w:hAnsi="Times New Roman"/>
          <w:i w:val="0"/>
          <w:color w:val="000000"/>
          <w:sz w:val="17"/>
          <w:u w:val="none"/>
        </w:rPr>
        <w:t>Note. The full combined file contains 6,776 respondents, including two with unknown sex and 249 additional records not assigned to one of the six groups after sex is known.</w:t>
      </w:r>
    </w:p>
    <w:p w14:paraId="062AFAE9">
      <w:pPr>
        <w:keepNext/>
        <w:spacing w:before="120" w:after="60"/>
      </w:pPr>
      <w:r>
        <w:rPr>
          <w:rFonts w:ascii="Times New Roman" w:hAnsi="Times New Roman"/>
          <w:b/>
          <w:i w:val="0"/>
          <w:color w:val="000000"/>
          <w:sz w:val="19"/>
          <w:u w:val="none"/>
        </w:rPr>
        <w:t>Supplementary Table S2. Variable construction and questionnaire source items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3289"/>
        <w:gridCol w:w="3289"/>
      </w:tblGrid>
      <w:tr w14:paraId="03374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D47B0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Concept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7472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Construction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3757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Questionnaire item(s)</w:t>
            </w:r>
          </w:p>
        </w:tc>
      </w:tr>
      <w:tr w14:paraId="69E68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A6338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Gender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50A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Self-reported woman or man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12BF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Sex item (A1)</w:t>
            </w:r>
          </w:p>
        </w:tc>
      </w:tr>
      <w:tr w14:paraId="0564E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304BA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Marriage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78D0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Currently unmarried or married; other statuses not assigned to six-group variable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0FCD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Current marital status (A9)</w:t>
            </w:r>
          </w:p>
        </w:tc>
      </w:tr>
      <w:tr w14:paraId="56E26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FC238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Childless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0DA7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Both current child counts observed and equal to zero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FE5B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Boys and girls currently being raised (C11A, C11B)</w:t>
            </w:r>
          </w:p>
        </w:tc>
      </w:tr>
      <w:tr w14:paraId="26E75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0F00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Parent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7253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At least one of the two current child counts is positive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F96A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Boys and girls currently being raised (C11A, C11B)</w:t>
            </w:r>
          </w:p>
        </w:tc>
      </w:tr>
      <w:tr w14:paraId="0EC8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0A800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44AA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Positive take-home monthly salary from sampled position; upper validity bound RMB 100,000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EE3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Take-home salary (D18)</w:t>
            </w:r>
          </w:p>
        </w:tc>
      </w:tr>
      <w:tr w14:paraId="13BC9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689C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Weekly hours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71D5E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Daily hours x working days per week; valid range &gt;0 to 100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666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Daily hours and weekly days (D27A, D27B)</w:t>
            </w:r>
          </w:p>
        </w:tc>
      </w:tr>
      <w:tr w14:paraId="3C836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9432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Hourly wage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F9D8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 / (weekly hours x 4.33); valid range &gt;0 to RMB 1,000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B053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Derived from D18, D27A, D27B</w:t>
            </w:r>
          </w:p>
        </w:tc>
      </w:tr>
      <w:tr w14:paraId="00F0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78DCA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Management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7621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Reports management responsibilities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41B1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Management work (D1C)</w:t>
            </w:r>
          </w:p>
        </w:tc>
      </w:tr>
      <w:tr w14:paraId="291A9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A2E1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Supervision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E6B9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Reports serving as an institutional supervisor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86A6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Institutional supervisor (D1D)</w:t>
            </w:r>
          </w:p>
        </w:tc>
      </w:tr>
      <w:tr w14:paraId="6D5F4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0015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Main position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BCA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Main position within the sampled institution; not used to identify main job across employers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2BA7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Main position name (D1A)</w:t>
            </w:r>
          </w:p>
        </w:tc>
      </w:tr>
      <w:tr w14:paraId="6680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C6E15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Education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FCDA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Bachelor's degree or above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3C9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Highest education (B1)</w:t>
            </w:r>
          </w:p>
        </w:tc>
      </w:tr>
      <w:tr w14:paraId="3992C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2D65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Qualification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12E0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At least one national assistant, social worker, or senior social worker credential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960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Credential items (B7A1, B7B1, B7C1)</w:t>
            </w:r>
          </w:p>
        </w:tc>
      </w:tr>
      <w:tr w14:paraId="66619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49EF7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Social-work tenure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EE24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2019 minus reported calendar year of entry into social work; valid 0-50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FA7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Start date in social work (D3A)</w:t>
            </w:r>
          </w:p>
        </w:tc>
      </w:tr>
      <w:tr w14:paraId="4F86F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FFE6A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Other income</w:t>
            </w:r>
          </w:p>
        </w:tc>
        <w:tc>
          <w:tcPr>
            <w:tcW w:w="49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C71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Composite of part-time work, investment, family support, and rent; not used as outside-job measure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7E7B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Other income (D17C)</w:t>
            </w:r>
          </w:p>
        </w:tc>
      </w:tr>
    </w:tbl>
    <w:p w14:paraId="06D90C68">
      <w:pPr>
        <w:keepNext/>
        <w:spacing w:before="120" w:after="60"/>
      </w:pPr>
      <w:r>
        <w:rPr>
          <w:rFonts w:ascii="Times New Roman" w:hAnsi="Times New Roman"/>
          <w:b/>
          <w:i w:val="0"/>
          <w:color w:val="000000"/>
          <w:sz w:val="19"/>
          <w:u w:val="none"/>
        </w:rPr>
        <w:t>Supplementary Table S3. Sensitivity to alternative age controls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 w14:paraId="5A579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1FBD1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Outcome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AB04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Age control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B8E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Mother vs UCM b (SE)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CC104F">
            <w:pPr>
              <w:spacing w:before="0" w:after="0" w:line="240" w:lineRule="auto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color w:val="000000"/>
                <w:sz w:val="14"/>
                <w:u w:val="none"/>
              </w:rPr>
              <w:t>p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235F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Mother vs UCW b (SE)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83B2A8">
            <w:pPr>
              <w:spacing w:before="0" w:after="0" w:line="240" w:lineRule="auto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color w:val="000000"/>
                <w:sz w:val="14"/>
                <w:u w:val="none"/>
              </w:rPr>
              <w:t>p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CFC2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iCs/>
                <w:color w:val="000000"/>
                <w:sz w:val="14"/>
                <w:u w:val="none"/>
              </w:rPr>
              <w:t>N</w:t>
            </w:r>
          </w:p>
        </w:tc>
      </w:tr>
      <w:tr w14:paraId="6EF2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B308D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Hourly wage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D3E9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Continuous age and age squared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3C0A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-0.024 (0.021)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EA0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.240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DA1B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-0.013 (0.018)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95A1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.472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D031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0DE0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C285E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Hourly wage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2043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Original broad age bands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161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-0.019 (0.019)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43B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.317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401B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-0.010 (0.016)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E70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.506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F776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7A21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BE079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Hourly wage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18A4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Five-year age bands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66B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-0.030 (0.020)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010F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.122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F89F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-0.028 (0.017)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5DB9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.098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6340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6C92B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71473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Hourly wage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776B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Single-year age fixed effects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A989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-0.039 (0.020)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066F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.049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EECD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-0.039 (0.017)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E547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.022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F9C5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65F82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C09D7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Weekly hours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F189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Continuous age and age squared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E0EB9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-1.314 (0.384)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71CB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&lt;.001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E150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-0.906 (0.323)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C1B7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.005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1BB3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38053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E6CA2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Weekly hours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373C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Original broad age bands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63D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-0.709 (0.372)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F0EE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.057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6F6D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-0.162 (0.298)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192B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.586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057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7BC0D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B6F2A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Weekly hours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AE95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Five-year age bands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F7E64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-0.928 (0.379)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A7E4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.014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0718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-0.468 (0.310)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896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.131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714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346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01A9B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Weekly hours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6AD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Single-year age fixed effects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6476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-1.093 (0.386)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14E0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.005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89C3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-0.629 (0.324)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44E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.052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D0B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78448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90751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Monthly salary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AF12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Continuous age and age squared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5085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-0.066 (0.018)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DEDF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&lt;.001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23F2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-0.050 (0.015)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26BF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&lt;.001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BF4C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4655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76775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Monthly salary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1DAA3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Original broad age bands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792C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-0.033 (0.017)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47AC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.047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EDB56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-0.011 (0.013)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93549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.406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4324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3C511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8A7B4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Monthly salary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7CA8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Five-year age bands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274C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-0.051 (0.017)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6C73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.003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1EA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-0.037 (0.014)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6702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.009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A78B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  <w:tr w14:paraId="3181B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C98B9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Monthly salary</w:t>
            </w:r>
          </w:p>
        </w:tc>
        <w:tc>
          <w:tcPr>
            <w:tcW w:w="26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9092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Single-year age fixed effects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2D76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-0.061 (0.017)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FF38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&lt;.001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AA62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-0.050 (0.014)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2ED8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&lt;.001</w:t>
            </w:r>
          </w:p>
        </w:tc>
        <w:tc>
          <w:tcPr>
            <w:tcW w:w="6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0987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6,102</w:t>
            </w:r>
          </w:p>
        </w:tc>
      </w:tr>
    </w:tbl>
    <w:p w14:paraId="6B76D6CA">
      <w:pPr>
        <w:spacing w:before="40" w:after="100"/>
      </w:pPr>
      <w:r>
        <w:rPr>
          <w:rFonts w:ascii="Times New Roman" w:hAnsi="Times New Roman"/>
          <w:i w:val="0"/>
          <w:color w:val="000000"/>
          <w:sz w:val="17"/>
          <w:u w:val="none"/>
        </w:rPr>
        <w:t>Note. UCM = unmarried childless men; UCW = unmarried childless women. Broad bands are 18-29 (reference), 30-39, 40-49, and 50-80. Five-year bands are 18-24 (reference), 25-29, 30-34, 35-39, 40-44, 45-49, 50-54, and 55-80. Single-year fixed effects use age 18 as the reference. Other controls match the main labor models.</w:t>
      </w:r>
    </w:p>
    <w:p w14:paraId="6A95FC66">
      <w:pPr>
        <w:keepNext/>
        <w:spacing w:before="120" w:after="60"/>
      </w:pPr>
      <w:r>
        <w:rPr>
          <w:rFonts w:ascii="Times New Roman" w:hAnsi="Times New Roman"/>
          <w:b/>
          <w:i w:val="0"/>
          <w:color w:val="000000"/>
          <w:sz w:val="19"/>
          <w:u w:val="none"/>
        </w:rPr>
        <w:t>Supplementary Table S4. Direct Wald contrasts between substantively matched groups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2466"/>
        <w:gridCol w:w="2466"/>
        <w:gridCol w:w="2466"/>
      </w:tblGrid>
      <w:tr w14:paraId="75E00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1E4B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Outcome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20D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Contrast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87754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Estimate [95% CI]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2A4D7C">
            <w:pPr>
              <w:spacing w:before="0" w:after="0" w:line="240" w:lineRule="auto"/>
              <w:jc w:val="center"/>
            </w:pPr>
            <w:bookmarkStart w:id="0" w:name="_GoBack"/>
            <w:r>
              <w:rPr>
                <w:rFonts w:ascii="Times New Roman" w:hAnsi="Times New Roman"/>
                <w:b/>
                <w:i/>
                <w:iCs/>
                <w:color w:val="000000"/>
                <w:sz w:val="15"/>
                <w:u w:val="none"/>
              </w:rPr>
              <w:t>p</w:t>
            </w:r>
            <w:bookmarkEnd w:id="0"/>
          </w:p>
        </w:tc>
      </w:tr>
      <w:tr w14:paraId="7AE07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2EA38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Hourly wage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E8A58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Unmarried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6007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-0.013 [-0.049, 0.023]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DDC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.472</w:t>
            </w:r>
          </w:p>
        </w:tc>
      </w:tr>
      <w:tr w14:paraId="69AC8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1371B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Hourly wage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F9C2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E816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-0.045 [-0.081, -0.009]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15C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.013</w:t>
            </w:r>
          </w:p>
        </w:tc>
      </w:tr>
      <w:tr w14:paraId="0B52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6DFC7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Hourly wage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010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Fathers - Married childless 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26C2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-0.005 [-0.106, 0.096]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0CCB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.925</w:t>
            </w:r>
          </w:p>
        </w:tc>
      </w:tr>
      <w:tr w14:paraId="6E040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5F102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Weekly hours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A99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Unmarried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935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-0.906 [-1.539, -0.274]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B8A4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.005</w:t>
            </w:r>
          </w:p>
        </w:tc>
      </w:tr>
      <w:tr w14:paraId="19B1F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DA8FB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Weekly hours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657D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5C54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-0.787 [-1.465, -0.109]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D133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.023</w:t>
            </w:r>
          </w:p>
        </w:tc>
      </w:tr>
      <w:tr w14:paraId="5D2B5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E5869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Weekly hours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030F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Fathers - Married childless 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22D3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0.246 [-1.375, 1.867]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DCA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.766</w:t>
            </w:r>
          </w:p>
        </w:tc>
      </w:tr>
      <w:tr w14:paraId="5F87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676A3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F548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Unmarried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281B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-0.050 [-0.079, -0.021]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F208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&lt;.001</w:t>
            </w:r>
          </w:p>
        </w:tc>
      </w:tr>
      <w:tr w14:paraId="4784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01CBB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BDE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2259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-0.075 [-0.106, -0.043]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ADCE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&lt;.001</w:t>
            </w:r>
          </w:p>
        </w:tc>
      </w:tr>
      <w:tr w14:paraId="5614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E0BCC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1256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Fathers - Married childless 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B4C8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0.001 [-0.083, 0.085]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E1E7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.981</w:t>
            </w:r>
          </w:p>
        </w:tc>
      </w:tr>
      <w:tr w14:paraId="20C80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7ED2A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 conditional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BB4D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Unmarried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68B6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-0.036 [-0.063, -0.008]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9916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.011</w:t>
            </w:r>
          </w:p>
        </w:tc>
      </w:tr>
      <w:tr w14:paraId="64EFB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91F20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 conditional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0CF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6916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-0.047 [-0.077, -0.017]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5B0F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.002</w:t>
            </w:r>
          </w:p>
        </w:tc>
      </w:tr>
      <w:tr w14:paraId="019F6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9CA93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 conditional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6A25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Fathers - Married childless 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0920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b 0.010 [-0.073, 0.092]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7245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.818</w:t>
            </w:r>
          </w:p>
        </w:tc>
      </w:tr>
      <w:tr w14:paraId="3145D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022E4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Management position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095F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Unmarried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4FB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OR 0.80 [0.67, 0.96]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C235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.015</w:t>
            </w:r>
          </w:p>
        </w:tc>
      </w:tr>
      <w:tr w14:paraId="5EA93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8240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Management position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A93E8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23DE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OR 0.64 [0.52, 0.79]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8C9F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&lt;.001</w:t>
            </w:r>
          </w:p>
        </w:tc>
      </w:tr>
      <w:tr w14:paraId="59102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C6FA8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Management position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6353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Fathers - Married childless 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E03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OR 0.78 [0.52, 1.17]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3155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.225</w:t>
            </w:r>
          </w:p>
        </w:tc>
      </w:tr>
      <w:tr w14:paraId="0D95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AE33D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Supervisor role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5977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Unmarried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9ECB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OR 0.84 [0.66, 1.06]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183F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.143</w:t>
            </w:r>
          </w:p>
        </w:tc>
      </w:tr>
      <w:tr w14:paraId="2A397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A3A5D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Supervisor role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BE23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Mothers - Married childless women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252B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OR 0.58 [0.44, 0.75]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DE42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&lt;.001</w:t>
            </w:r>
          </w:p>
        </w:tc>
      </w:tr>
      <w:tr w14:paraId="3256C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F8E42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Supervisor role</w:t>
            </w:r>
          </w:p>
        </w:tc>
        <w:tc>
          <w:tcPr>
            <w:tcW w:w="38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8313C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Fathers - Married childless men</w:t>
            </w:r>
          </w:p>
        </w:tc>
        <w:tc>
          <w:tcPr>
            <w:tcW w:w="23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CDA2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OR 1.01 [0.63, 1.59]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66D8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.981</w:t>
            </w:r>
          </w:p>
        </w:tc>
      </w:tr>
    </w:tbl>
    <w:p w14:paraId="1058EB0A">
      <w:pPr>
        <w:spacing w:before="40" w:after="100"/>
      </w:pPr>
      <w:r>
        <w:rPr>
          <w:rFonts w:ascii="Times New Roman" w:hAnsi="Times New Roman"/>
          <w:i w:val="0"/>
          <w:color w:val="000000"/>
          <w:sz w:val="17"/>
          <w:u w:val="none"/>
        </w:rPr>
        <w:t>Note. Labor-outcome estimates are coefficients; hierarchy estimates exponentiate the log-odds contrast and are reported as odds ratios.</w:t>
      </w:r>
    </w:p>
    <w:p w14:paraId="173CC80E">
      <w:pPr>
        <w:keepNext/>
        <w:spacing w:before="120" w:after="60"/>
      </w:pPr>
      <w:r>
        <w:rPr>
          <w:rFonts w:ascii="Times New Roman" w:hAnsi="Times New Roman"/>
          <w:b/>
          <w:i w:val="0"/>
          <w:color w:val="000000"/>
          <w:sz w:val="19"/>
          <w:u w:val="none"/>
        </w:rPr>
        <w:t>Supplementary Table S5. Standard-error and winsorization robustness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1973"/>
        <w:gridCol w:w="1973"/>
        <w:gridCol w:w="1973"/>
        <w:gridCol w:w="1973"/>
      </w:tblGrid>
      <w:tr w14:paraId="1133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24931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Outcome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8DF6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Contrast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065F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HC1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0036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Agency-clustered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9E2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4"/>
                <w:u w:val="none"/>
              </w:rPr>
              <w:t>Winsorized 1/99</w:t>
            </w:r>
          </w:p>
        </w:tc>
      </w:tr>
      <w:tr w14:paraId="086B2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3F08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Hourly wage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7AD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Mothers - Unmarried childless women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7E8C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-0.013 (0.018), p .472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99E47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-0.013 (0.020), p .518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856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-0.027 (0.013), p .047</w:t>
            </w:r>
          </w:p>
        </w:tc>
      </w:tr>
      <w:tr w14:paraId="16E6E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E724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Hourly wage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DFB0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Fathers - Married childless men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DEC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-0.005 (0.052), p .925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523F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-0.005 (0.048), p .920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F279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0.012 (0.035), p .723</w:t>
            </w:r>
          </w:p>
        </w:tc>
      </w:tr>
      <w:tr w14:paraId="3C1CA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95302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Weekly hours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68BC3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Mothers - Unmarried childless women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6F1C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-0.906 (0.323), p .005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FBF8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-0.906 (0.337), p .007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0373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-0.753 (0.292), p .010</w:t>
            </w:r>
          </w:p>
        </w:tc>
      </w:tr>
      <w:tr w14:paraId="0C8C9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4DD69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Weekly hours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BA28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Fathers - Married childless men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E59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0.246 (0.827), p .766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ECDA1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0.246 (0.820), p .764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7F03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0.295 (0.734), p .688</w:t>
            </w:r>
          </w:p>
        </w:tc>
      </w:tr>
      <w:tr w14:paraId="43F1F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C09E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Monthly salary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4ECF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Mothers - Unmarried childless women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961C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-0.050 (0.015), p &lt;.001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D52C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-0.050 (0.016), p .001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1BE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-0.045 (0.012), p &lt;.001</w:t>
            </w:r>
          </w:p>
        </w:tc>
      </w:tr>
      <w:tr w14:paraId="04C7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E7326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Monthly salary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DA5E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Fathers - Married childless men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307E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0.001 (0.043), p .981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DA5D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0.001 (0.042), p .981</w:t>
            </w:r>
          </w:p>
        </w:tc>
        <w:tc>
          <w:tcPr>
            <w:tcW w:w="19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2AE8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  <w:u w:val="none"/>
              </w:rPr>
              <w:t>0.019 (0.029), p .520</w:t>
            </w:r>
          </w:p>
        </w:tc>
      </w:tr>
    </w:tbl>
    <w:p w14:paraId="0D896F6E">
      <w:pPr>
        <w:spacing w:before="40" w:after="100"/>
      </w:pPr>
      <w:r>
        <w:rPr>
          <w:rFonts w:ascii="Times New Roman" w:hAnsi="Times New Roman"/>
          <w:i w:val="0"/>
          <w:color w:val="000000"/>
          <w:sz w:val="17"/>
          <w:u w:val="none"/>
        </w:rPr>
        <w:t>Note. Cells are b (SE), p. Winsorization caps positive salary and weekly hours at their pooled 1st/99th percentiles before recalculating hourly wage. The winsorized sample is N = 6,107.</w:t>
      </w:r>
    </w:p>
    <w:p w14:paraId="710C1107">
      <w:pPr>
        <w:keepNext/>
        <w:spacing w:before="120" w:after="60"/>
      </w:pPr>
      <w:r>
        <w:rPr>
          <w:rFonts w:ascii="Times New Roman" w:hAnsi="Times New Roman"/>
          <w:b/>
          <w:i w:val="0"/>
          <w:color w:val="000000"/>
          <w:sz w:val="19"/>
          <w:u w:val="none"/>
        </w:rPr>
        <w:t>Supplementary Table S6. Exploratory regional heterogeneity among women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 w14:paraId="6C783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739BB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Outcome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A3CE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Region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5908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Mother vs UCW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77A5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95% CI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77F7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iCs/>
                <w:color w:val="000000"/>
                <w:sz w:val="15"/>
                <w:u w:val="none"/>
              </w:rPr>
              <w:t>p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A6A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5"/>
                <w:u w:val="none"/>
              </w:rPr>
              <w:t>Joint interaction p</w:t>
            </w:r>
          </w:p>
        </w:tc>
      </w:tr>
      <w:tr w14:paraId="60315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B08FC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Hourly wage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5F6B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East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823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-0.043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3E2D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[-0.087, 0.002]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123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.060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D2F9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.018</w:t>
            </w:r>
          </w:p>
        </w:tc>
      </w:tr>
      <w:tr w14:paraId="33AB1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73EB7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Hourly wage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7BCF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Central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F44D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-0.033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F92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[-0.105, 0.039]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0FA0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.368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4044A">
            <w:pPr>
              <w:spacing w:before="0" w:after="0" w:line="240" w:lineRule="auto"/>
              <w:jc w:val="center"/>
            </w:pPr>
          </w:p>
        </w:tc>
      </w:tr>
      <w:tr w14:paraId="6DD6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A353C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Hourly wage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AF3A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26B4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-0.053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5DE0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[-0.132, 0.026]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CD0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.189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707F93">
            <w:pPr>
              <w:spacing w:before="0" w:after="0" w:line="240" w:lineRule="auto"/>
              <w:jc w:val="center"/>
            </w:pPr>
          </w:p>
        </w:tc>
      </w:tr>
      <w:tr w14:paraId="56995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D92B8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Hourly wage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22B84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Northeast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49CA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0.341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30B9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[0.099, 0.582]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CEC3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.006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CC0A6F">
            <w:pPr>
              <w:spacing w:before="0" w:after="0" w:line="240" w:lineRule="auto"/>
              <w:jc w:val="center"/>
            </w:pPr>
          </w:p>
        </w:tc>
      </w:tr>
      <w:tr w14:paraId="5BD3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2AA61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Weekly hours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720E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East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7F06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-1.165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0394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[-1.902, -0.427]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189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.002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F2B75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.104</w:t>
            </w:r>
          </w:p>
        </w:tc>
      </w:tr>
      <w:tr w14:paraId="3AD4C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DDFF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Weekly hours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AA68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Central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133F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0.411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9DB3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[-0.911, 1.732]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586D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.542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C0FB30">
            <w:pPr>
              <w:spacing w:before="0" w:after="0" w:line="240" w:lineRule="auto"/>
              <w:jc w:val="center"/>
            </w:pPr>
          </w:p>
        </w:tc>
      </w:tr>
      <w:tr w14:paraId="710CF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7208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Weekly hours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9054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3905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-1.421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40ED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[-2.543, -0.299]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CC98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.013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EE544F">
            <w:pPr>
              <w:spacing w:before="0" w:after="0" w:line="240" w:lineRule="auto"/>
              <w:jc w:val="center"/>
            </w:pPr>
          </w:p>
        </w:tc>
      </w:tr>
      <w:tr w14:paraId="251BD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FD429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Weekly hours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92C0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Northeast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A6E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-0.359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A740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[-4.219, 3.500]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AD7A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.855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75FA25">
            <w:pPr>
              <w:spacing w:before="0" w:after="0" w:line="240" w:lineRule="auto"/>
              <w:jc w:val="center"/>
            </w:pPr>
          </w:p>
        </w:tc>
      </w:tr>
      <w:tr w14:paraId="0CDC1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B058E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79E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East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527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-0.079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044D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[-0.117, -0.041]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0232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&lt;.001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2D41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.037</w:t>
            </w:r>
          </w:p>
        </w:tc>
      </w:tr>
      <w:tr w14:paraId="013A0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D71D0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2F8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Central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932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-0.036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F510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[-0.099, 0.027]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C6B3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.258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9205BC">
            <w:pPr>
              <w:spacing w:before="0" w:after="0" w:line="240" w:lineRule="auto"/>
              <w:jc w:val="center"/>
            </w:pPr>
          </w:p>
        </w:tc>
      </w:tr>
      <w:tr w14:paraId="73BEE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62AFC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7CC7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West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14EE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-0.098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1E1B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[-0.171, -0.026]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34FE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.008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F91729">
            <w:pPr>
              <w:spacing w:before="0" w:after="0" w:line="240" w:lineRule="auto"/>
              <w:jc w:val="center"/>
            </w:pPr>
          </w:p>
        </w:tc>
      </w:tr>
      <w:tr w14:paraId="681E2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D15BD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Monthly salary</w:t>
            </w:r>
          </w:p>
        </w:tc>
        <w:tc>
          <w:tcPr>
            <w:tcW w:w="12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1E8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Northeast</w:t>
            </w:r>
          </w:p>
        </w:tc>
        <w:tc>
          <w:tcPr>
            <w:tcW w:w="16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55A5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0.125</w:t>
            </w:r>
          </w:p>
        </w:tc>
        <w:tc>
          <w:tcPr>
            <w:tcW w:w="208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2083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[-0.027, 0.277]</w:t>
            </w:r>
          </w:p>
        </w:tc>
        <w:tc>
          <w:tcPr>
            <w:tcW w:w="79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8D7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  <w:u w:val="none"/>
              </w:rPr>
              <w:t>.107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3410D7">
            <w:pPr>
              <w:spacing w:before="0" w:after="0" w:line="240" w:lineRule="auto"/>
              <w:jc w:val="center"/>
            </w:pPr>
          </w:p>
        </w:tc>
      </w:tr>
    </w:tbl>
    <w:p w14:paraId="10C68818">
      <w:pPr>
        <w:spacing w:before="40" w:after="100"/>
      </w:pPr>
      <w:r>
        <w:rPr>
          <w:rFonts w:ascii="Times New Roman" w:hAnsi="Times New Roman"/>
          <w:i w:val="0"/>
          <w:color w:val="000000"/>
          <w:sz w:val="17"/>
          <w:u w:val="none"/>
        </w:rPr>
        <w:t>Note. N = 4,809. Models interact female group with East (reference), Central, West, and Northeast and adjust for age, age squared, education, qualification, tenure, and source. Estimates are exploratory; the Northeast labor-sample cell is small.</w:t>
      </w:r>
    </w:p>
    <w:p w14:paraId="409FED14">
      <w:pPr>
        <w:keepNext/>
        <w:spacing w:before="120" w:after="60"/>
      </w:pPr>
      <w:r>
        <w:rPr>
          <w:rFonts w:ascii="Times New Roman" w:hAnsi="Times New Roman"/>
          <w:b/>
          <w:i w:val="0"/>
          <w:color w:val="000000"/>
          <w:sz w:val="19"/>
          <w:u w:val="none"/>
        </w:rPr>
        <w:t>Supplementary Table S7. Reported service-domain coverage by source file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3289"/>
        <w:gridCol w:w="3289"/>
      </w:tblGrid>
      <w:tr w14:paraId="49CD5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FDE28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Service domain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A405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General file, %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17C1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  <w:u w:val="none"/>
              </w:rPr>
              <w:t>Civil/medical file, %</w:t>
            </w:r>
          </w:p>
        </w:tc>
      </w:tr>
      <w:tr w14:paraId="54256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BF4C6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Family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DED8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20.9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B8A9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15.2</w:t>
            </w:r>
          </w:p>
        </w:tc>
      </w:tr>
      <w:tr w14:paraId="08FF0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9BC3E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Older people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38FA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43.3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2162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33.3</w:t>
            </w:r>
          </w:p>
        </w:tc>
      </w:tr>
      <w:tr w14:paraId="0E457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8106F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Disability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0319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19.5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7C13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17.9</w:t>
            </w:r>
          </w:p>
        </w:tc>
      </w:tr>
      <w:tr w14:paraId="4B83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048A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Women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526A1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18.4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982B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14.8</w:t>
            </w:r>
          </w:p>
        </w:tc>
      </w:tr>
      <w:tr w14:paraId="4A38F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BD7A1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Children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311C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38.1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C5980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24.0</w:t>
            </w:r>
          </w:p>
        </w:tc>
      </w:tr>
      <w:tr w14:paraId="04DB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68894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Youth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253F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38.7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70CD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19.4</w:t>
            </w:r>
          </w:p>
        </w:tc>
      </w:tr>
      <w:tr w14:paraId="7BC6B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0D2CA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Migrants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E2D8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7.7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8ADA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8.6</w:t>
            </w:r>
          </w:p>
        </w:tc>
      </w:tr>
      <w:tr w14:paraId="33D03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633A1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Corrections/addiction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00FD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9.2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48C4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6.9</w:t>
            </w:r>
          </w:p>
        </w:tc>
      </w:tr>
      <w:tr w14:paraId="421F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47CD3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Community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D66B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56.9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53A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41.6</w:t>
            </w:r>
          </w:p>
        </w:tc>
      </w:tr>
      <w:tr w14:paraId="5A1CC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92A6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Medical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22B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3.0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14D9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25.4</w:t>
            </w:r>
          </w:p>
        </w:tc>
      </w:tr>
      <w:tr w14:paraId="14C39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D4521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Social assistance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DE32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8.2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A25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22.9</w:t>
            </w:r>
          </w:p>
        </w:tc>
      </w:tr>
      <w:tr w14:paraId="4D56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66B57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Enterprise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7FCE7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4.7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CD76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4.8</w:t>
            </w:r>
          </w:p>
        </w:tc>
      </w:tr>
      <w:tr w14:paraId="367C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80F0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Veterans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94C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4.7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543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7.5</w:t>
            </w:r>
          </w:p>
        </w:tc>
      </w:tr>
      <w:tr w14:paraId="28268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B683E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Evaluation/research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87C6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6.9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D5CF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5.1</w:t>
            </w:r>
          </w:p>
        </w:tc>
      </w:tr>
      <w:tr w14:paraId="17724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25696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Social-organization development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6B1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17.5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6814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10.7</w:t>
            </w:r>
          </w:p>
        </w:tc>
      </w:tr>
      <w:tr w14:paraId="04F62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5E235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Other</w:t>
            </w:r>
          </w:p>
        </w:tc>
        <w:tc>
          <w:tcPr>
            <w:tcW w:w="223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3547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6.7</w:t>
            </w:r>
          </w:p>
        </w:tc>
        <w:tc>
          <w:tcPr>
            <w:tcW w:w="24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515C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  <w:u w:val="none"/>
              </w:rPr>
              <w:t>8.8</w:t>
            </w:r>
          </w:p>
        </w:tc>
      </w:tr>
    </w:tbl>
    <w:p w14:paraId="51C4F0BA">
      <w:pPr>
        <w:spacing w:before="40" w:after="100"/>
      </w:pPr>
      <w:r>
        <w:rPr>
          <w:rFonts w:ascii="Times New Roman" w:hAnsi="Times New Roman"/>
          <w:i w:val="0"/>
          <w:color w:val="000000"/>
          <w:sz w:val="17"/>
          <w:u w:val="none"/>
        </w:rPr>
        <w:t>Note. Percentages use nonmissing responses within each source file. Respondents could select multiple current service domains; the source-file labels are questionnaire versions and do not define mutually exclusive sectors.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020" w:right="1020" w:bottom="964" w:left="1020" w:header="454" w:footer="454" w:gutter="0"/>
      <w:pgNumType w:start="1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7CD7F">
    <w:pPr>
      <w:pStyle w:val="7"/>
      <w:jc w:val="center"/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</w:instrText>
    </w:r>
    <w:r>
      <w:rPr>
        <w:rFonts w:ascii="Times New Roman" w:hAnsi="Times New Roman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EBD70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1B484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397CB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7EAB2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0B147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A71D87"/>
    <w:multiLevelType w:val="multilevel"/>
    <w:tmpl w:val="22A71D87"/>
    <w:lvl w:ilvl="0" w:tentative="0">
      <w:start w:val="1"/>
      <w:numFmt w:val="decimal"/>
      <w:pStyle w:val="25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4338F"/>
    <w:rsid w:val="00594240"/>
    <w:rsid w:val="007F0A1D"/>
    <w:rsid w:val="00834011"/>
    <w:rsid w:val="009937C1"/>
    <w:rsid w:val="00A67734"/>
    <w:rsid w:val="00AF4ADB"/>
    <w:rsid w:val="00E1080C"/>
    <w:rsid w:val="00EF08F0"/>
    <w:rsid w:val="00F17FCF"/>
    <w:rsid w:val="01001B5E"/>
    <w:rsid w:val="010F271D"/>
    <w:rsid w:val="01C74429"/>
    <w:rsid w:val="031B2C7F"/>
    <w:rsid w:val="03A81102"/>
    <w:rsid w:val="03BE07F6"/>
    <w:rsid w:val="03E64A38"/>
    <w:rsid w:val="04F96FF0"/>
    <w:rsid w:val="051200B1"/>
    <w:rsid w:val="06417385"/>
    <w:rsid w:val="075B7248"/>
    <w:rsid w:val="077054B9"/>
    <w:rsid w:val="07CF5C80"/>
    <w:rsid w:val="096F0925"/>
    <w:rsid w:val="09E62A0B"/>
    <w:rsid w:val="0A2416B5"/>
    <w:rsid w:val="0A963E23"/>
    <w:rsid w:val="0B126438"/>
    <w:rsid w:val="0B3C19E4"/>
    <w:rsid w:val="0B5036E2"/>
    <w:rsid w:val="0BCD4D32"/>
    <w:rsid w:val="0BE31ADF"/>
    <w:rsid w:val="0D5374B9"/>
    <w:rsid w:val="0D9D3FA2"/>
    <w:rsid w:val="0F056591"/>
    <w:rsid w:val="100A4F02"/>
    <w:rsid w:val="101B6745"/>
    <w:rsid w:val="105D7738"/>
    <w:rsid w:val="10B71C44"/>
    <w:rsid w:val="10D163BA"/>
    <w:rsid w:val="114E3817"/>
    <w:rsid w:val="116C48F4"/>
    <w:rsid w:val="120314AE"/>
    <w:rsid w:val="132876B5"/>
    <w:rsid w:val="135125F8"/>
    <w:rsid w:val="13D33102"/>
    <w:rsid w:val="145853B5"/>
    <w:rsid w:val="14883EEC"/>
    <w:rsid w:val="14EF7AC7"/>
    <w:rsid w:val="1525173B"/>
    <w:rsid w:val="157C65C2"/>
    <w:rsid w:val="16646293"/>
    <w:rsid w:val="16F92E7F"/>
    <w:rsid w:val="17712A16"/>
    <w:rsid w:val="18653135"/>
    <w:rsid w:val="19EA687B"/>
    <w:rsid w:val="1AC32C8B"/>
    <w:rsid w:val="1AD0039B"/>
    <w:rsid w:val="1C0F548B"/>
    <w:rsid w:val="1C3041CB"/>
    <w:rsid w:val="1C5F6CD8"/>
    <w:rsid w:val="1D6F2322"/>
    <w:rsid w:val="1F6125F6"/>
    <w:rsid w:val="1FA157AB"/>
    <w:rsid w:val="1FA466BF"/>
    <w:rsid w:val="206340E6"/>
    <w:rsid w:val="20C450BD"/>
    <w:rsid w:val="21AB746C"/>
    <w:rsid w:val="21F42BC1"/>
    <w:rsid w:val="224420AD"/>
    <w:rsid w:val="22482F0D"/>
    <w:rsid w:val="22771D14"/>
    <w:rsid w:val="22A30143"/>
    <w:rsid w:val="236C49D9"/>
    <w:rsid w:val="23F76998"/>
    <w:rsid w:val="25787665"/>
    <w:rsid w:val="26B113D9"/>
    <w:rsid w:val="275859A0"/>
    <w:rsid w:val="28041E20"/>
    <w:rsid w:val="28E608E8"/>
    <w:rsid w:val="29015BC3"/>
    <w:rsid w:val="29DF4028"/>
    <w:rsid w:val="2B962A81"/>
    <w:rsid w:val="2BEE01C4"/>
    <w:rsid w:val="2C6C77F8"/>
    <w:rsid w:val="2C707634"/>
    <w:rsid w:val="2D223F36"/>
    <w:rsid w:val="2DD85EE0"/>
    <w:rsid w:val="2EC86F23"/>
    <w:rsid w:val="2F0F763C"/>
    <w:rsid w:val="306E74AE"/>
    <w:rsid w:val="319F661C"/>
    <w:rsid w:val="33475CDF"/>
    <w:rsid w:val="343B642D"/>
    <w:rsid w:val="34605E94"/>
    <w:rsid w:val="35243365"/>
    <w:rsid w:val="360B0081"/>
    <w:rsid w:val="37265173"/>
    <w:rsid w:val="3787198A"/>
    <w:rsid w:val="37F0752F"/>
    <w:rsid w:val="381769C0"/>
    <w:rsid w:val="3877589F"/>
    <w:rsid w:val="38A26A7B"/>
    <w:rsid w:val="3AD273C0"/>
    <w:rsid w:val="3BFD046C"/>
    <w:rsid w:val="3C416112"/>
    <w:rsid w:val="3D1912D6"/>
    <w:rsid w:val="3D8E5820"/>
    <w:rsid w:val="3E201A73"/>
    <w:rsid w:val="41024C5B"/>
    <w:rsid w:val="420D238C"/>
    <w:rsid w:val="42950DB3"/>
    <w:rsid w:val="4338061E"/>
    <w:rsid w:val="43DE64F8"/>
    <w:rsid w:val="45684BA8"/>
    <w:rsid w:val="458D2861"/>
    <w:rsid w:val="4914516D"/>
    <w:rsid w:val="49B075CE"/>
    <w:rsid w:val="4A011E45"/>
    <w:rsid w:val="4A3634C7"/>
    <w:rsid w:val="4AFA070E"/>
    <w:rsid w:val="4B413ED2"/>
    <w:rsid w:val="4BE56F53"/>
    <w:rsid w:val="4BEE392E"/>
    <w:rsid w:val="4DE367EA"/>
    <w:rsid w:val="4EF27D0A"/>
    <w:rsid w:val="4F811208"/>
    <w:rsid w:val="4F9D00DD"/>
    <w:rsid w:val="4FF60CC8"/>
    <w:rsid w:val="508A1E77"/>
    <w:rsid w:val="50A167EB"/>
    <w:rsid w:val="51A07FE4"/>
    <w:rsid w:val="522307D5"/>
    <w:rsid w:val="534722A1"/>
    <w:rsid w:val="538B4755"/>
    <w:rsid w:val="54ED0C26"/>
    <w:rsid w:val="55DF0EE5"/>
    <w:rsid w:val="56DB0F3A"/>
    <w:rsid w:val="59605E6B"/>
    <w:rsid w:val="59C12681"/>
    <w:rsid w:val="5A3904E0"/>
    <w:rsid w:val="5AF854CA"/>
    <w:rsid w:val="5CB14C2F"/>
    <w:rsid w:val="5D1E0DAA"/>
    <w:rsid w:val="5DE84D5A"/>
    <w:rsid w:val="5E18454D"/>
    <w:rsid w:val="5F3A53B0"/>
    <w:rsid w:val="5FEB0458"/>
    <w:rsid w:val="607A69D2"/>
    <w:rsid w:val="60EE08CC"/>
    <w:rsid w:val="620712EA"/>
    <w:rsid w:val="638257FD"/>
    <w:rsid w:val="6404709D"/>
    <w:rsid w:val="64564E9C"/>
    <w:rsid w:val="64790728"/>
    <w:rsid w:val="648570CD"/>
    <w:rsid w:val="64B03E04"/>
    <w:rsid w:val="64CC0858"/>
    <w:rsid w:val="64F8164D"/>
    <w:rsid w:val="65150451"/>
    <w:rsid w:val="65367019"/>
    <w:rsid w:val="6692787F"/>
    <w:rsid w:val="66E72202"/>
    <w:rsid w:val="6744501E"/>
    <w:rsid w:val="67492634"/>
    <w:rsid w:val="67AD036D"/>
    <w:rsid w:val="67C3480C"/>
    <w:rsid w:val="67C952EA"/>
    <w:rsid w:val="67E370EB"/>
    <w:rsid w:val="692E3FBC"/>
    <w:rsid w:val="69360996"/>
    <w:rsid w:val="697119CE"/>
    <w:rsid w:val="697F54EA"/>
    <w:rsid w:val="69840A89"/>
    <w:rsid w:val="6AB75B07"/>
    <w:rsid w:val="6B8C6F93"/>
    <w:rsid w:val="6B8F5E98"/>
    <w:rsid w:val="6B905C1D"/>
    <w:rsid w:val="6BA77929"/>
    <w:rsid w:val="6C410973"/>
    <w:rsid w:val="6C5F0204"/>
    <w:rsid w:val="6D0F39D8"/>
    <w:rsid w:val="6DCA3DA3"/>
    <w:rsid w:val="6ED76777"/>
    <w:rsid w:val="6F231F65"/>
    <w:rsid w:val="6FA8186D"/>
    <w:rsid w:val="7274338F"/>
    <w:rsid w:val="72AC09E1"/>
    <w:rsid w:val="73242D31"/>
    <w:rsid w:val="732E540C"/>
    <w:rsid w:val="74A94712"/>
    <w:rsid w:val="77536BB7"/>
    <w:rsid w:val="77B70EF4"/>
    <w:rsid w:val="78874D6A"/>
    <w:rsid w:val="790A7244"/>
    <w:rsid w:val="7A505E3B"/>
    <w:rsid w:val="7C323A7E"/>
    <w:rsid w:val="7C3951B0"/>
    <w:rsid w:val="7C7E46D6"/>
    <w:rsid w:val="7E06357F"/>
    <w:rsid w:val="7E3C03A5"/>
    <w:rsid w:val="7EC30AC6"/>
    <w:rsid w:val="7F1D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after="80" w:line="276" w:lineRule="auto"/>
      <w:jc w:val="both"/>
    </w:pPr>
    <w:rPr>
      <w:rFonts w:asciiTheme="minorHAnsi" w:hAnsiTheme="minorHAnsi" w:eastAsiaTheme="minorEastAsia" w:cstheme="minorBidi"/>
      <w:kern w:val="2"/>
      <w:sz w:val="20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spacing w:before="120" w:beforeAutospacing="1" w:after="40" w:afterAutospacing="1"/>
      <w:jc w:val="left"/>
      <w:outlineLvl w:val="2"/>
    </w:pPr>
    <w:rPr>
      <w:rFonts w:hint="eastAsia" w:ascii="Times New Roman" w:hAnsi="Times New Roman" w:eastAsia="宋体" w:cs="Times New Roman"/>
      <w:b/>
      <w:bCs/>
      <w:color w:val="000000"/>
      <w:kern w:val="0"/>
      <w:sz w:val="20"/>
      <w:szCs w:val="27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Autospacing="1" w:afterAutospacing="1"/>
      <w:jc w:val="left"/>
      <w:outlineLvl w:val="4"/>
    </w:pPr>
    <w:rPr>
      <w:rFonts w:hint="eastAsia" w:ascii="宋体" w:hAnsi="宋体" w:eastAsia="宋体" w:cs="Times New Roman"/>
      <w:b/>
      <w:bCs/>
      <w:kern w:val="0"/>
      <w:sz w:val="20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pPr>
      <w:widowControl/>
      <w:spacing w:after="200"/>
      <w:jc w:val="left"/>
    </w:pPr>
    <w:rPr>
      <w:i/>
      <w:iCs/>
      <w:color w:val="44546A" w:themeColor="text2"/>
      <w:kern w:val="0"/>
      <w:sz w:val="18"/>
      <w:szCs w:val="18"/>
      <w:lang w:eastAsia="zh-TW"/>
      <w14:textFill>
        <w14:solidFill>
          <w14:schemeClr w14:val="tx2"/>
        </w14:solidFill>
      </w14:textFill>
    </w:rPr>
  </w:style>
  <w:style w:type="paragraph" w:styleId="6">
    <w:name w:val="Body Text"/>
    <w:basedOn w:val="1"/>
    <w:qFormat/>
    <w:uiPriority w:val="0"/>
    <w:rPr>
      <w:rFonts w:ascii="宋体" w:hAnsi="宋体" w:eastAsia="宋体" w:cs="宋体"/>
      <w:sz w:val="17"/>
      <w:szCs w:val="17"/>
      <w:lang w:eastAsia="en-US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Emphasis"/>
    <w:basedOn w:val="12"/>
    <w:qFormat/>
    <w:uiPriority w:val="0"/>
    <w:rPr>
      <w:i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MDPI_1.1_article_type"/>
    <w:next w:val="1"/>
    <w:qFormat/>
    <w:uiPriority w:val="0"/>
    <w:pPr>
      <w:adjustRightInd w:val="0"/>
      <w:snapToGrid w:val="0"/>
      <w:spacing w:before="240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17">
    <w:name w:val="MDPI_1.2_title"/>
    <w:next w:val="1"/>
    <w:qFormat/>
    <w:uiPriority w:val="0"/>
    <w:pPr>
      <w:adjustRightInd w:val="0"/>
      <w:snapToGrid w:val="0"/>
      <w:spacing w:after="240" w:line="240" w:lineRule="atLeast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18">
    <w:name w:val="MDPI_1.3_authornames"/>
    <w:next w:val="1"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19">
    <w:name w:val="MDPI_1.7_abstract"/>
    <w:next w:val="1"/>
    <w:qFormat/>
    <w:uiPriority w:val="0"/>
    <w:pPr>
      <w:adjustRightInd w:val="0"/>
      <w:snapToGrid w:val="0"/>
      <w:spacing w:before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20">
    <w:name w:val="MDPI_1.8_keywords"/>
    <w:next w:val="1"/>
    <w:qFormat/>
    <w:uiPriority w:val="0"/>
    <w:pPr>
      <w:adjustRightInd w:val="0"/>
      <w:snapToGrid w:val="0"/>
      <w:spacing w:before="24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21">
    <w:name w:val="MDPI_1.9_line"/>
    <w:qFormat/>
    <w:uiPriority w:val="0"/>
    <w:pPr>
      <w:pBdr>
        <w:bottom w:val="single" w:color="auto" w:sz="6" w:space="1"/>
      </w:pBdr>
      <w:adjustRightInd w:val="0"/>
      <w:snapToGrid w:val="0"/>
      <w:spacing w:after="48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Cs w:val="24"/>
      <w:lang w:val="en-US" w:eastAsia="de-DE" w:bidi="en-US"/>
    </w:rPr>
  </w:style>
  <w:style w:type="paragraph" w:customStyle="1" w:styleId="22">
    <w:name w:val="MDPI_2.1_heading1"/>
    <w:qFormat/>
    <w:uiPriority w:val="0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 w:val="24"/>
      <w:szCs w:val="22"/>
      <w:lang w:val="en-US" w:eastAsia="de-DE" w:bidi="en-US"/>
    </w:rPr>
  </w:style>
  <w:style w:type="paragraph" w:customStyle="1" w:styleId="23">
    <w:name w:val="MDPI_3.1_text"/>
    <w:qFormat/>
    <w:uiPriority w:val="0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24">
    <w:name w:val="MDPI_6.2_back_matter"/>
    <w:qFormat/>
    <w:uiPriority w:val="0"/>
    <w:pPr>
      <w:adjustRightInd w:val="0"/>
      <w:snapToGrid w:val="0"/>
      <w:spacing w:after="12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en-US" w:bidi="en-US"/>
    </w:rPr>
  </w:style>
  <w:style w:type="paragraph" w:customStyle="1" w:styleId="25">
    <w:name w:val="MDPI_8.1_references"/>
    <w:qFormat/>
    <w:uiPriority w:val="0"/>
    <w:pPr>
      <w:numPr>
        <w:ilvl w:val="0"/>
        <w:numId w:val="1"/>
      </w:numPr>
      <w:adjustRightInd w:val="0"/>
      <w:snapToGrid w:val="0"/>
      <w:spacing w:line="280" w:lineRule="atLeast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paragraph" w:customStyle="1" w:styleId="26">
    <w:name w:val="MDPI_2.2_heading2"/>
    <w:qFormat/>
    <w:uiPriority w:val="0"/>
    <w:pPr>
      <w:adjustRightInd w:val="0"/>
      <w:snapToGrid w:val="0"/>
      <w:spacing w:before="60" w:after="60" w:line="280" w:lineRule="atLeast"/>
      <w:ind w:left="2608"/>
      <w:outlineLvl w:val="1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27">
    <w:name w:val="MDPI_2.3_heading3"/>
    <w:qFormat/>
    <w:uiPriority w:val="0"/>
    <w:pPr>
      <w:adjustRightInd w:val="0"/>
      <w:snapToGrid w:val="0"/>
      <w:spacing w:before="60" w:after="60" w:line="280" w:lineRule="atLeast"/>
      <w:ind w:left="2608"/>
      <w:outlineLvl w:val="2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28">
    <w:name w:val="MDPI_1.6_affiliation"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paragraph" w:customStyle="1" w:styleId="29">
    <w:name w:val="MDPI_3.2_text_no_indent"/>
    <w:basedOn w:val="23"/>
    <w:qFormat/>
    <w:uiPriority w:val="0"/>
    <w:pPr>
      <w:ind w:firstLine="0"/>
    </w:pPr>
  </w:style>
  <w:style w:type="paragraph" w:customStyle="1" w:styleId="30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31">
    <w:name w:val="MDPI_5.1_figure_caption"/>
    <w:autoRedefine/>
    <w:qFormat/>
    <w:uiPriority w:val="0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table" w:customStyle="1" w:styleId="32">
    <w:name w:val="Table Grid3"/>
    <w:basedOn w:val="10"/>
    <w:qFormat/>
    <w:uiPriority w:val="59"/>
    <w:rPr>
      <w:sz w:val="22"/>
      <w:lang w:eastAsia="zh-TW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3">
    <w:name w:val="正文1"/>
    <w:basedOn w:val="1"/>
    <w:qFormat/>
    <w:uiPriority w:val="0"/>
    <w:pPr>
      <w:widowControl/>
      <w:spacing w:before="120" w:after="120" w:line="480" w:lineRule="auto"/>
      <w:ind w:firstLine="200" w:firstLineChars="200"/>
      <w:jc w:val="left"/>
    </w:pPr>
    <w:rPr>
      <w:rFonts w:ascii="微软雅黑" w:hAnsi="微软雅黑"/>
      <w:kern w:val="0"/>
      <w:sz w:val="28"/>
      <w:lang w:eastAsia="zh-TW"/>
    </w:rPr>
  </w:style>
  <w:style w:type="table" w:customStyle="1" w:styleId="34">
    <w:name w:val="Table Grid4"/>
    <w:basedOn w:val="10"/>
    <w:qFormat/>
    <w:uiPriority w:val="59"/>
    <w:rPr>
      <w:sz w:val="22"/>
      <w:lang w:eastAsia="zh-TW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5">
    <w:name w:val="MDPI_4.1_table_caption"/>
    <w:qFormat/>
    <w:uiPriority w:val="0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36">
    <w:name w:val="MDPI_4.3_table_footer"/>
    <w:next w:val="23"/>
    <w:autoRedefine/>
    <w:qFormat/>
    <w:uiPriority w:val="0"/>
    <w:pPr>
      <w:adjustRightInd w:val="0"/>
      <w:snapToGrid w:val="0"/>
      <w:spacing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37">
    <w:name w:val="heading 1"/>
    <w:qFormat/>
    <w:uiPriority w:val="0"/>
    <w:pPr>
      <w:keepNext/>
      <w:spacing w:before="200" w:after="80"/>
    </w:pPr>
    <w:rPr>
      <w:rFonts w:ascii="Times New Roman" w:hAnsi="Times New Roman" w:eastAsia="宋体" w:cs="Times New Roman"/>
      <w:b/>
      <w:color w:val="000000"/>
      <w:sz w:val="26"/>
    </w:rPr>
  </w:style>
  <w:style w:type="paragraph" w:customStyle="1" w:styleId="38">
    <w:name w:val="heading 2"/>
    <w:qFormat/>
    <w:uiPriority w:val="0"/>
    <w:pPr>
      <w:keepNext/>
      <w:spacing w:before="160" w:after="60"/>
    </w:pPr>
    <w:rPr>
      <w:rFonts w:ascii="Times New Roman" w:hAnsi="Times New Roman" w:eastAsia="宋体" w:cs="Times New Roman"/>
      <w:b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1323</Words>
  <Characters>7610</Characters>
  <Lines>185</Lines>
  <Paragraphs>52</Paragraphs>
  <TotalTime>2</TotalTime>
  <ScaleCrop>false</ScaleCrop>
  <LinksUpToDate>false</LinksUpToDate>
  <CharactersWithSpaces>8488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2025-01-15T08:30:00Z</dcterms:created>
  <dc:creator>Windows</dc:creator>
  <cp:lastModifiedBy>嘻嘻仔</cp:lastModifiedBy>
  <dcterms:modified xsi:type="dcterms:W3CDTF">2026-08-11T07:54:32Z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33AF2CE0D734449689A18DA75F91FFCC_13</vt:lpwstr>
  </property>
  <property fmtid="{D5CDD505-2E9C-101B-9397-08002B2CF9AE}" pid="4" name="KSOTemplateDocerSaveRecord">
    <vt:lpwstr>eyJoZGlkIjoiYWFmYmI1NTBiY2ZlODlmZThlOTU2MTczMjc0Y2E4ZTIiLCJ1c2VySWQiOiIxNzMwNDU2OTIxIn0=</vt:lpwstr>
  </property>
</Properties>
</file>