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160" w:line="240" w:lineRule="auto"/>
        <w:jc w:val="left"/>
      </w:pPr>
      <w:r>
        <w:rPr>
          <w:rFonts w:ascii="Times New Roman" w:hAnsi="Times New Roman" w:eastAsia="Times New Roman"/>
          <w:b/>
          <w:color w:val="1F4D78"/>
          <w:sz w:val="36"/>
        </w:rPr>
        <w:t>Supplementary Material</w:t>
      </w:r>
    </w:p>
    <w:p>
      <w:pPr>
        <w:keepNext/>
        <w:spacing w:before="0" w:after="100" w:line="252" w:lineRule="auto"/>
      </w:pPr>
      <w:r>
        <w:rPr>
          <w:rFonts w:ascii="Times New Roman" w:hAnsi="Times New Roman" w:eastAsia="Times New Roman"/>
          <w:b/>
          <w:color w:val="1F4D78"/>
          <w:sz w:val="21"/>
        </w:rPr>
        <w:t xml:space="preserve">Supplementary Table 1. </w:t>
      </w:r>
      <w:r>
        <w:rPr>
          <w:rFonts w:ascii="Times New Roman" w:hAnsi="Times New Roman" w:eastAsia="Times New Roman"/>
          <w:b/>
          <w:color w:val="111111"/>
          <w:sz w:val="21"/>
        </w:rPr>
        <w:t>Model-fit indices and classification diagnostics for candidate RAR trajectory models with one to seven groups</w:t>
      </w:r>
    </w:p>
    <w:tbl>
      <w:tblPr>
        <w:tblStyle w:val="TableGrid"/>
        <w:tblW w:type="dxa" w:w="140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</w:tblPr>
      <w:tblGrid>
        <w:gridCol w:w="2050"/>
        <w:gridCol w:w="1712"/>
        <w:gridCol w:w="1712"/>
        <w:gridCol w:w="1712"/>
        <w:gridCol w:w="1712"/>
        <w:gridCol w:w="1712"/>
        <w:gridCol w:w="1712"/>
        <w:gridCol w:w="1718"/>
      </w:tblGrid>
      <w:tr>
        <w:trPr>
          <w:cantSplit/>
          <w:tblHeader w:val="true"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Metric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Group 1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Group 2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Group 3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Group 4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Group 5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Group 6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Group 7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AIC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89925.22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75882.32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70065.13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67941.25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66633.20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66122.06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65478.76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BIC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89949.16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75954.12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70176.83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68092.85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66824.69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66353.45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65750.04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CAIC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89952.16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75963.12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70190.83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68111.85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66848.69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66382.45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65784.04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SSBIC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89939.63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75925.52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70132.34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68032.46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66748.42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66261.29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65641.99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HQIC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89933.03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75905.72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70101.54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67990.67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66695.62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66197.49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65567.19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AvePP_1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0.9914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0.9883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0.9876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0.9811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0.9821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0.9849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AvePP_2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0.9861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0.9803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0.9681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0.9575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0.9604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0.9368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AvePP_3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0.9775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0.9732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0.9628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0.9624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0.9652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AvePP_4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0.9585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0.9595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0.9489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0.9223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AvePP_5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0.9824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0.9774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0.9536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AvePP_6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0.9276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0.9436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AvePP_7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0.9425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OCC_1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70.2946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99.2126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120.2808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110.7739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112.9686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158.4475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OCC_2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116.1994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236.7075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299.5837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233.7483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227.0521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139.5982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OCC_3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74.6152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71.6093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60.7264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70.2771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72.6729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OCC_4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110.5774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84.5127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104.0738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116.7218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OCC_5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689.5695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680.8946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877.9225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OCC_6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117.2036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81.9203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OCC_7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301.1911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Prop.Class 1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100.00%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62.18%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45.94%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39.90%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31.94%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32.81%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tcBorders>
              <w:top w:val="single" w:sz="8" w:color="1F4D78"/>
            </w:tcBorders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29.11%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Prop.Class 2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37.82%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17.34%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8.64%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8.85%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9.64%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9.74%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Prop.Class 3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36.72%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34.14%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29.84%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26.75%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27.69%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Prop.Class 4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17.32%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22.00%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15.21%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9.24%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Prop.Class 5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7.37%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5.99%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2.27%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Prop.Class 6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9.60%</w:t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16.94%</w:t>
            </w:r>
          </w:p>
        </w:tc>
      </w:tr>
      <w:tr>
        <w:trPr>
          <w:cantSplit/>
        </w:trPr>
        <w:tc>
          <w:tcPr>
            <w:tcW w:type="dxa" w:w="205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6"/>
              </w:rPr>
              <w:t>Prop.Class 7</w:t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</w:r>
          </w:p>
        </w:tc>
        <w:tc>
          <w:tcPr>
            <w:tcW w:type="dxa" w:w="1718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5.01%</w:t>
            </w:r>
          </w:p>
        </w:tc>
      </w:tr>
    </w:tbl>
    <w:p>
      <w:pPr>
        <w:spacing w:before="60" w:after="0" w:line="252" w:lineRule="auto"/>
      </w:pPr>
      <w:r>
        <w:rPr>
          <w:rFonts w:ascii="Times New Roman" w:hAnsi="Times New Roman" w:eastAsia="Times New Roman"/>
          <w:b/>
          <w:color w:val="555555"/>
          <w:sz w:val="17"/>
        </w:rPr>
        <w:t xml:space="preserve">Abbreviations: </w:t>
      </w:r>
      <w:r>
        <w:rPr>
          <w:rFonts w:ascii="Times New Roman" w:hAnsi="Times New Roman" w:eastAsia="Times New Roman"/>
          <w:color w:val="555555"/>
          <w:sz w:val="17"/>
        </w:rPr>
        <w:t>AIC, Akaike information criterion; BIC, Bayesian information criterion; CAIC, consistent Akaike information criterion; SSBIC, sample-size-adjusted Bayesian information criterion; HQIC, Hannan-Quinn information criterion; AvePP, average posterior probability; OCC, odds of correct classification; Prop.Class, estimated class proportion.</w:t>
      </w:r>
    </w:p>
    <w:p>
      <w:r>
        <w:br w:type="page"/>
      </w:r>
    </w:p>
    <w:p>
      <w:pPr>
        <w:keepNext/>
        <w:spacing w:before="0" w:after="100" w:line="252" w:lineRule="auto"/>
      </w:pPr>
      <w:r>
        <w:rPr>
          <w:rFonts w:ascii="Times New Roman" w:hAnsi="Times New Roman" w:eastAsia="Times New Roman"/>
          <w:b/>
          <w:color w:val="1F4D78"/>
          <w:sz w:val="21"/>
        </w:rPr>
        <w:t xml:space="preserve">Supplementary Table 2. </w:t>
      </w:r>
      <w:r>
        <w:rPr>
          <w:rFonts w:ascii="Times New Roman" w:hAnsi="Times New Roman" w:eastAsia="Times New Roman"/>
          <w:b/>
          <w:color w:val="111111"/>
          <w:sz w:val="21"/>
        </w:rPr>
        <w:t>Associations of RAR trajectory classes with ICU and in-hospital mortality in MIMIC-IV, MIMIC-III CareVue, and eICU</w:t>
      </w:r>
    </w:p>
    <w:tbl>
      <w:tblPr>
        <w:tblStyle w:val="TableGrid"/>
        <w:tblW w:type="dxa" w:w="1404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</w:tblPr>
      <w:tblGrid>
        <w:gridCol w:w="3100"/>
        <w:gridCol w:w="2470"/>
        <w:gridCol w:w="1030"/>
        <w:gridCol w:w="2470"/>
        <w:gridCol w:w="1030"/>
        <w:gridCol w:w="2470"/>
        <w:gridCol w:w="1470"/>
      </w:tblGrid>
      <w:tr>
        <w:trPr>
          <w:cantSplit/>
          <w:tblHeader w:val="true"/>
        </w:trPr>
        <w:tc>
          <w:tcPr>
            <w:tcW w:type="dxa" w:w="3100"/>
            <w:vMerge w:val="restart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7"/>
              </w:rPr>
              <w:t>Variable</w:t>
            </w:r>
          </w:p>
        </w:tc>
        <w:tc>
          <w:tcPr>
            <w:tcW w:type="dxa" w:w="3500"/>
            <w:gridSpan w:val="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7"/>
              </w:rPr>
              <w:t>Model 1</w:t>
            </w:r>
          </w:p>
        </w:tc>
        <w:tc>
          <w:tcPr>
            <w:tcW w:type="dxa" w:w="3500"/>
            <w:gridSpan w:val="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7"/>
              </w:rPr>
              <w:t>Model 2</w:t>
            </w:r>
          </w:p>
        </w:tc>
        <w:tc>
          <w:tcPr>
            <w:tcW w:type="dxa" w:w="3940"/>
            <w:gridSpan w:val="2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7"/>
              </w:rPr>
              <w:t>Model 3</w:t>
            </w:r>
          </w:p>
        </w:tc>
      </w:tr>
      <w:tr>
        <w:trPr>
          <w:cantSplit/>
          <w:tblHeader w:val="true"/>
        </w:trPr>
        <w:tc>
          <w:tcPr>
            <w:tcW w:type="dxa" w:w="3100"/>
            <w:vMerge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/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7"/>
              </w:rPr>
              <w:t>OR (95% CI)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/>
                <w:color w:val="111111"/>
                <w:sz w:val="17"/>
              </w:rPr>
              <w:t>P value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7"/>
              </w:rPr>
              <w:t>OR (95% CI)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/>
                <w:color w:val="111111"/>
                <w:sz w:val="17"/>
              </w:rPr>
              <w:t>P value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11111"/>
                <w:sz w:val="17"/>
              </w:rPr>
              <w:t>OR (95% CI)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E8EEF5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/>
                <w:color w:val="111111"/>
                <w:sz w:val="17"/>
              </w:rPr>
              <w:t>P value</w:t>
            </w:r>
          </w:p>
        </w:tc>
      </w:tr>
      <w:tr>
        <w:trPr>
          <w:cantSplit/>
        </w:trPr>
        <w:tc>
          <w:tcPr>
            <w:tcW w:type="dxa" w:w="14040"/>
            <w:gridSpan w:val="7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F2F4F7"/>
          </w:tcPr>
          <w:p>
            <w:pPr>
              <w:keepNext/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F4D78"/>
                <w:sz w:val="17"/>
              </w:rPr>
              <w:t>MIMIC-IV ICU Mortality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2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2.52 (1.87–3.39)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2.57 (1.90–3.47)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2.43 (1.75–3.38)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3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1.70 (1.37–2.10)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1.69 (1.36–2.10)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1.64 (1.30–2.06)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4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2.06 (1.61–2.64)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2.06 (1.61–2.64)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2.07 (1.57–2.72)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</w:tr>
      <w:tr>
        <w:trPr>
          <w:cantSplit/>
        </w:trPr>
        <w:tc>
          <w:tcPr>
            <w:tcW w:type="dxa" w:w="14040"/>
            <w:gridSpan w:val="7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F2F4F7"/>
          </w:tcPr>
          <w:p>
            <w:pPr>
              <w:keepNext/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F4D78"/>
                <w:sz w:val="17"/>
              </w:rPr>
              <w:t>MIMIC-IV Hospital Mortality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2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3.41 (2.66–4.36)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3.62 (2.81–4.67)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2.98 (2.27–3.91)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3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1.73 (1.45–2.06)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1.73 (1.45–2.07)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1.56 (1.28–1.88)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4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2.65 (2.17–3.24)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2.70 (2.20–3.32)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2.37 (1.90–2.97)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</w:tr>
      <w:tr>
        <w:trPr>
          <w:cantSplit/>
        </w:trPr>
        <w:tc>
          <w:tcPr>
            <w:tcW w:type="dxa" w:w="14040"/>
            <w:gridSpan w:val="7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F2F4F7"/>
          </w:tcPr>
          <w:p>
            <w:pPr>
              <w:keepNext/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F4D78"/>
                <w:sz w:val="17"/>
              </w:rPr>
              <w:t>MIMIC III ICU Mortality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2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5.26 (3.27–8.46)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5.22 (3.23–8.43)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4.54 (2.62–7.84)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3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2.47 (1.68–3.63)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2.43 (1.65–3.57)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2.02 (1.32–3.08)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0.001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4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3.40 (2.28–5.08)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3.35 (2.24–5.01)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2.84 (1.81–4.46)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</w:tr>
      <w:tr>
        <w:trPr>
          <w:cantSplit/>
        </w:trPr>
        <w:tc>
          <w:tcPr>
            <w:tcW w:type="dxa" w:w="14040"/>
            <w:gridSpan w:val="7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F2F4F7"/>
          </w:tcPr>
          <w:p>
            <w:pPr>
              <w:keepNext/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F4D78"/>
                <w:sz w:val="17"/>
              </w:rPr>
              <w:t>MIMIC III Hospital Mortality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2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7.67 (4.90–11.99)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8.02 (5.09–12.65)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7.33 (4.40–12.21)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3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2.67 (1.92–3.73)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2.66 (1.90–3.72)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2.37 (1.64–3.43)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4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3.91 (2.74–5.57)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3.86 (2.70–5.52)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3.54 (2.37–5.29)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</w:tr>
      <w:tr>
        <w:trPr>
          <w:cantSplit/>
        </w:trPr>
        <w:tc>
          <w:tcPr>
            <w:tcW w:type="dxa" w:w="14040"/>
            <w:gridSpan w:val="7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F2F4F7"/>
          </w:tcPr>
          <w:p>
            <w:pPr>
              <w:keepNext/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F4D78"/>
                <w:sz w:val="17"/>
              </w:rPr>
              <w:t>eICU ICU Mortality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2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2.28 (1.67–3.11)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2.30 (1.68–3.14)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2.21 (1.55–3.15)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3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1.27 (0.94–1.71)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0.118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1.26 (0.94–1.70)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0.127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1.18 (0.85–1.63)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0.328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4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1.78 (1.32–2.41)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1.78 (1.32–2.41)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1.58 (1.13–2.21)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0.008</w:t>
            </w:r>
          </w:p>
        </w:tc>
      </w:tr>
      <w:tr>
        <w:trPr>
          <w:cantSplit/>
        </w:trPr>
        <w:tc>
          <w:tcPr>
            <w:tcW w:type="dxa" w:w="14040"/>
            <w:gridSpan w:val="7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  <w:shd w:fill="F2F4F7"/>
          </w:tcPr>
          <w:p>
            <w:pPr>
              <w:keepNext/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F4D78"/>
                <w:sz w:val="17"/>
              </w:rPr>
              <w:t>eICU Hospital Mortality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2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2.82 (2.14–3.71)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2.78 (2.11–3.66)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2.85 (2.09–3.90)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3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1.32 (1.01–1.71)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0.04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1.28 (0.98–1.67)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0.067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1.23 (0.92–1.64)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0.154</w:t>
            </w:r>
          </w:p>
        </w:tc>
      </w:tr>
      <w:tr>
        <w:trPr>
          <w:cantSplit/>
        </w:trPr>
        <w:tc>
          <w:tcPr>
            <w:tcW w:type="dxa" w:w="310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Class 4 vs Class 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1.92 (1.47–2.51)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1.88 (1.44–2.46)</w:t>
            </w:r>
          </w:p>
        </w:tc>
        <w:tc>
          <w:tcPr>
            <w:tcW w:type="dxa" w:w="103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  <w:tc>
          <w:tcPr>
            <w:tcW w:type="dxa" w:w="2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1.77 (1.31–2.38)</w:t>
            </w:r>
          </w:p>
        </w:tc>
        <w:tc>
          <w:tcPr>
            <w:tcW w:type="dxa" w:w="1470"/>
            <w:tcMar>
              <w:top w:w="35" w:type="dxa"/>
              <w:start w:w="90" w:type="dxa"/>
              <w:bottom w:w="35" w:type="dxa"/>
              <w:end w:w="9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11111"/>
                <w:sz w:val="16"/>
              </w:rPr>
              <w:t>&lt; 0.001</w:t>
            </w:r>
          </w:p>
        </w:tc>
      </w:tr>
    </w:tbl>
    <w:p>
      <w:pPr>
        <w:spacing w:before="60" w:after="0" w:line="252" w:lineRule="auto"/>
      </w:pPr>
      <w:r>
        <w:rPr>
          <w:rFonts w:ascii="Times New Roman" w:hAnsi="Times New Roman" w:eastAsia="Times New Roman"/>
          <w:b/>
          <w:color w:val="555555"/>
          <w:sz w:val="17"/>
        </w:rPr>
        <w:t xml:space="preserve">Notes: </w:t>
      </w:r>
      <w:r>
        <w:rPr>
          <w:rFonts w:ascii="Times New Roman" w:hAnsi="Times New Roman" w:eastAsia="Times New Roman"/>
          <w:color w:val="555555"/>
          <w:sz w:val="17"/>
        </w:rPr>
        <w:t>Values are odds ratios (ORs) with 95% confidence intervals (CIs). Class 1 was the reference group. Model 1 was unadjusted. Model 2 was adjusted for age, sex, and race. Model 3 was additionally adjusted for ICU type; stroke, hypertension, diabetes, chronic obstructive pulmonary disease, and heart failure; infection site; SOFA score; minimum mean arterial pressure; maximum body temperature; hemoglobin; white blood cell count; international normalized ratio; lactate; pH; mechanical ventilation; renal replacement therapy; vasopressor use; albumin infusion within 24 h; and red blood cell/whole-blood transfusion within 24 h.</w:t>
      </w:r>
    </w:p>
    <w:p>
      <w:r>
        <w:br w:type="page"/>
      </w:r>
    </w:p>
    <w:p>
      <w:pPr>
        <w:keepNext/>
        <w:spacing w:before="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412480" cy="53760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miciv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53760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before="40" w:after="0" w:line="252" w:lineRule="auto"/>
        <w:jc w:val="left"/>
      </w:pPr>
      <w:r>
        <w:rPr>
          <w:rFonts w:ascii="Times New Roman" w:hAnsi="Times New Roman" w:eastAsia="Times New Roman"/>
          <w:b/>
          <w:color w:val="1F4D78"/>
          <w:sz w:val="19"/>
        </w:rPr>
        <w:t xml:space="preserve">Supplementary Figure 1. </w:t>
      </w:r>
      <w:r>
        <w:rPr>
          <w:rFonts w:ascii="Times New Roman" w:hAnsi="Times New Roman" w:eastAsia="Times New Roman"/>
          <w:color w:val="111111"/>
          <w:sz w:val="19"/>
        </w:rPr>
        <w:t>Daily availability of valid RAR measurements during days 1-14 after ICU admission in MIMIC-IV. Bars show the number of unique patients with a valid daily RAR value; each patient was counted once per day, and day 1 represents 0-24 h after ICU admission.</w:t>
      </w:r>
    </w:p>
    <w:p>
      <w:r>
        <w:br w:type="page"/>
      </w:r>
    </w:p>
    <w:p>
      <w:pPr>
        <w:keepNext/>
        <w:spacing w:before="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412480" cy="537606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miciii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53760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before="40" w:after="0" w:line="252" w:lineRule="auto"/>
        <w:jc w:val="left"/>
      </w:pPr>
      <w:r>
        <w:rPr>
          <w:rFonts w:ascii="Times New Roman" w:hAnsi="Times New Roman" w:eastAsia="Times New Roman"/>
          <w:b/>
          <w:color w:val="1F4D78"/>
          <w:sz w:val="19"/>
        </w:rPr>
        <w:t xml:space="preserve">Supplementary Figure 2. </w:t>
      </w:r>
      <w:r>
        <w:rPr>
          <w:rFonts w:ascii="Times New Roman" w:hAnsi="Times New Roman" w:eastAsia="Times New Roman"/>
          <w:color w:val="111111"/>
          <w:sz w:val="19"/>
        </w:rPr>
        <w:t>Daily availability of valid RAR measurements during days 1-14 after ICU admission in MIMIC-III CareVue. Bars show the number of unique patients with a valid daily RAR value; each patient was counted once per day, and day 1 represents 0-24 h after ICU admission.</w:t>
      </w:r>
    </w:p>
    <w:p>
      <w:r>
        <w:br w:type="page"/>
      </w:r>
    </w:p>
    <w:p>
      <w:pPr>
        <w:keepNext/>
        <w:spacing w:before="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8412480" cy="53760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icu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53760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before="40" w:after="0" w:line="252" w:lineRule="auto"/>
        <w:jc w:val="left"/>
      </w:pPr>
      <w:r>
        <w:rPr>
          <w:rFonts w:ascii="Times New Roman" w:hAnsi="Times New Roman" w:eastAsia="Times New Roman"/>
          <w:b/>
          <w:color w:val="1F4D78"/>
          <w:sz w:val="19"/>
        </w:rPr>
        <w:t xml:space="preserve">Supplementary Figure 3. </w:t>
      </w:r>
      <w:r>
        <w:rPr>
          <w:rFonts w:ascii="Times New Roman" w:hAnsi="Times New Roman" w:eastAsia="Times New Roman"/>
          <w:color w:val="111111"/>
          <w:sz w:val="19"/>
        </w:rPr>
        <w:t>Daily availability of valid RAR measurements during days 1-14 after ICU admission in eICU. Bars show the number of unique patients with a valid daily RAR value; each patient was counted once per day, and day 1 represents 0-24 h after ICU admission.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792" w:right="792" w:bottom="792" w:left="792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right"/>
    </w:pPr>
    <w:r>
      <w:rPr>
        <w:rFonts w:ascii="Times New Roman" w:hAnsi="Times New Roman" w:eastAsia="Times New Roman"/>
        <w:color w:val="555555"/>
        <w:sz w:val="18"/>
      </w:rP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/>
      </w:rP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rPr>
        <w:rFonts w:ascii="Times New Roman" w:hAnsi="Times New Roman" w:eastAsia="Times New Roman"/>
        <w:color w:val="555555"/>
        <w:sz w:val="17"/>
      </w:rPr>
      <w:t>Supplementary Material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F4D78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</dc:title>
  <dc:subject>RAR trajectory analysis: supplementary tables and figures</dc:subject>
  <dc:creator/>
  <cp:keywords>RAR; trajectory; ICU; supplementary material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