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22B" w:rsidRPr="00C407F5" w:rsidRDefault="00A876D0" w:rsidP="00C407F5">
      <w:pPr>
        <w:spacing w:before="240" w:after="120" w:line="240" w:lineRule="auto"/>
        <w:jc w:val="both"/>
        <w:rPr>
          <w:rFonts w:cs="Times New Roman"/>
        </w:rPr>
      </w:pPr>
      <w:r w:rsidRPr="00C407F5">
        <w:rPr>
          <w:rFonts w:cs="Times New Roman"/>
          <w:b/>
        </w:rPr>
        <w:t>Supplementary Ta</w:t>
      </w:r>
      <w:bookmarkStart w:id="0" w:name="_GoBack"/>
      <w:bookmarkEnd w:id="0"/>
      <w:r w:rsidRPr="00C407F5">
        <w:rPr>
          <w:rFonts w:cs="Times New Roman"/>
          <w:b/>
        </w:rPr>
        <w:t>ble S1. Prevalence of key genotypic resistance determinants in 56 Ghanaian Neisseria gonorrhoeae isolates, stratified by city of origin.</w:t>
      </w:r>
    </w:p>
    <w:tbl>
      <w:tblPr>
        <w:tblW w:w="11814" w:type="dxa"/>
        <w:jc w:val="center"/>
        <w:tblLook w:val="04A0" w:firstRow="1" w:lastRow="0" w:firstColumn="1" w:lastColumn="0" w:noHBand="0" w:noVBand="1"/>
      </w:tblPr>
      <w:tblGrid>
        <w:gridCol w:w="1749"/>
        <w:gridCol w:w="1650"/>
        <w:gridCol w:w="1118"/>
        <w:gridCol w:w="1097"/>
        <w:gridCol w:w="1132"/>
        <w:gridCol w:w="1278"/>
        <w:gridCol w:w="1402"/>
        <w:gridCol w:w="2198"/>
        <w:gridCol w:w="190"/>
      </w:tblGrid>
      <w:tr w:rsidR="009723D0" w:rsidRPr="00C407F5" w:rsidTr="009723D0">
        <w:trPr>
          <w:gridAfter w:val="1"/>
          <w:wAfter w:w="190" w:type="dxa"/>
          <w:trHeight w:val="763"/>
          <w:jc w:val="center"/>
        </w:trPr>
        <w:tc>
          <w:tcPr>
            <w:tcW w:w="17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line="240" w:lineRule="auto"/>
              <w:rPr>
                <w:b/>
              </w:rPr>
            </w:pPr>
            <w:r w:rsidRPr="009723D0">
              <w:rPr>
                <w:b/>
              </w:rPr>
              <w:t>Category</w:t>
            </w:r>
          </w:p>
        </w:tc>
        <w:tc>
          <w:tcPr>
            <w:tcW w:w="16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line="240" w:lineRule="auto"/>
              <w:rPr>
                <w:b/>
              </w:rPr>
            </w:pPr>
            <w:r w:rsidRPr="009723D0">
              <w:rPr>
                <w:b/>
              </w:rPr>
              <w:t>AMR determinant</w:t>
            </w:r>
          </w:p>
        </w:tc>
        <w:tc>
          <w:tcPr>
            <w:tcW w:w="11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line="240" w:lineRule="auto"/>
              <w:rPr>
                <w:b/>
              </w:rPr>
            </w:pPr>
            <w:r w:rsidRPr="009723D0">
              <w:rPr>
                <w:b/>
              </w:rPr>
              <w:t>Accra (N = 39)</w:t>
            </w:r>
          </w:p>
        </w:tc>
        <w:tc>
          <w:tcPr>
            <w:tcW w:w="109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line="240" w:lineRule="auto"/>
              <w:rPr>
                <w:b/>
              </w:rPr>
            </w:pPr>
            <w:r w:rsidRPr="009723D0">
              <w:rPr>
                <w:b/>
              </w:rPr>
              <w:t>Takoradi (N = 17)</w:t>
            </w:r>
          </w:p>
        </w:tc>
        <w:tc>
          <w:tcPr>
            <w:tcW w:w="113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line="240" w:lineRule="auto"/>
              <w:rPr>
                <w:b/>
              </w:rPr>
            </w:pPr>
            <w:r w:rsidRPr="009723D0">
              <w:rPr>
                <w:b/>
              </w:rPr>
              <w:t>Overall (N = 56)</w:t>
            </w:r>
          </w:p>
        </w:tc>
        <w:tc>
          <w:tcPr>
            <w:tcW w:w="12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9723D0" w:rsidP="009723D0">
            <w:pPr>
              <w:spacing w:line="240" w:lineRule="auto"/>
              <w:rPr>
                <w:b/>
              </w:rPr>
            </w:pPr>
            <w:r w:rsidRPr="009723D0">
              <w:rPr>
                <w:b/>
              </w:rPr>
              <w:t>Fisher's p</w:t>
            </w:r>
          </w:p>
        </w:tc>
        <w:tc>
          <w:tcPr>
            <w:tcW w:w="1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9723D0" w:rsidP="009723D0">
            <w:pPr>
              <w:spacing w:line="240" w:lineRule="auto"/>
              <w:rPr>
                <w:b/>
              </w:rPr>
            </w:pPr>
            <w:r>
              <w:rPr>
                <w:b/>
              </w:rPr>
              <w:t>Bonferroni p</w:t>
            </w:r>
            <w:r w:rsidRPr="009723D0">
              <w:rPr>
                <w:b/>
              </w:rPr>
              <w:t>adj</w:t>
            </w:r>
          </w:p>
        </w:tc>
        <w:tc>
          <w:tcPr>
            <w:tcW w:w="219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line="240" w:lineRule="auto"/>
              <w:rPr>
                <w:b/>
              </w:rPr>
            </w:pPr>
            <w:r w:rsidRPr="009723D0">
              <w:rPr>
                <w:b/>
              </w:rPr>
              <w:t>Clinical / biological relevance</w:t>
            </w:r>
          </w:p>
        </w:tc>
      </w:tr>
      <w:tr w:rsidR="0048722B" w:rsidRPr="00C407F5" w:rsidTr="009723D0">
        <w:trPr>
          <w:trHeight w:val="454"/>
          <w:jc w:val="center"/>
        </w:trPr>
        <w:tc>
          <w:tcPr>
            <w:tcW w:w="11814" w:type="dxa"/>
            <w:gridSpan w:val="9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  <w:b/>
              </w:rPr>
              <w:t>Acquired plasmid-mediated elements</w:t>
            </w:r>
          </w:p>
        </w:tc>
      </w:tr>
      <w:tr w:rsidR="009723D0" w:rsidRPr="00C407F5" w:rsidTr="009723D0">
        <w:trPr>
          <w:trHeight w:val="939"/>
          <w:jc w:val="center"/>
        </w:trPr>
        <w:tc>
          <w:tcPr>
            <w:tcW w:w="1749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Tetracycline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tet(M) (TRNG plasmid)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89.7% (35/39)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82.4% (14/17)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87.5% (49/56)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0.6624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1.0000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High-level plasmid-mediated tetracycline resistance</w:t>
            </w:r>
          </w:p>
        </w:tc>
      </w:tr>
      <w:tr w:rsidR="009723D0" w:rsidRPr="00C407F5" w:rsidTr="009723D0">
        <w:trPr>
          <w:trHeight w:val="454"/>
          <w:jc w:val="center"/>
        </w:trPr>
        <w:tc>
          <w:tcPr>
            <w:tcW w:w="1749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β-lactam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blaTEM (PPNG plasmid)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87.2% (34/39)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94.1% (16/17)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89.3% (50/56)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0.6555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1.0000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High-level plasmid-mediated penicillin resistance</w:t>
            </w:r>
          </w:p>
        </w:tc>
      </w:tr>
      <w:tr w:rsidR="0048722B" w:rsidRPr="00C407F5" w:rsidTr="009723D0">
        <w:trPr>
          <w:trHeight w:val="454"/>
          <w:jc w:val="center"/>
        </w:trPr>
        <w:tc>
          <w:tcPr>
            <w:tcW w:w="11814" w:type="dxa"/>
            <w:gridSpan w:val="9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Chromosomal point mutations</w:t>
            </w:r>
          </w:p>
        </w:tc>
      </w:tr>
      <w:tr w:rsidR="009723D0" w:rsidRPr="00C407F5" w:rsidTr="009723D0">
        <w:trPr>
          <w:trHeight w:val="454"/>
          <w:jc w:val="center"/>
        </w:trPr>
        <w:tc>
          <w:tcPr>
            <w:tcW w:w="1749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Quinolone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  <w:i/>
              </w:rPr>
              <w:t>gyrA</w:t>
            </w:r>
            <w:r w:rsidRPr="009723D0">
              <w:rPr>
                <w:rFonts w:cs="Times New Roman"/>
              </w:rPr>
              <w:t xml:space="preserve"> S91F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87.2% (34/39)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88.2% (15/17)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87.5% (49/56)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1.0000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1.0000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Primary ciprofloxacin-resistance mutation; near-fixed in 2018–2019</w:t>
            </w:r>
          </w:p>
        </w:tc>
      </w:tr>
      <w:tr w:rsidR="009723D0" w:rsidRPr="00C407F5" w:rsidTr="009723D0">
        <w:trPr>
          <w:trHeight w:val="884"/>
          <w:jc w:val="center"/>
        </w:trPr>
        <w:tc>
          <w:tcPr>
            <w:tcW w:w="1749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Quinolone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  <w:i/>
              </w:rPr>
              <w:t>gyrA</w:t>
            </w:r>
            <w:r w:rsidRPr="009723D0">
              <w:rPr>
                <w:rFonts w:cs="Times New Roman"/>
              </w:rPr>
              <w:t xml:space="preserve"> D95G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46.2% (18/39)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11.8% (2/17)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35.7% (20/56)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0.0162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48722B" w:rsidRPr="009723D0" w:rsidRDefault="009723D0" w:rsidP="009723D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0.1137 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Secondary ciprofloxacin-resistance mutation</w:t>
            </w:r>
          </w:p>
        </w:tc>
      </w:tr>
      <w:tr w:rsidR="009723D0" w:rsidRPr="00C407F5" w:rsidTr="009723D0">
        <w:trPr>
          <w:trHeight w:val="855"/>
          <w:jc w:val="center"/>
        </w:trPr>
        <w:tc>
          <w:tcPr>
            <w:tcW w:w="1749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Quinolone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  <w:i/>
              </w:rPr>
              <w:t>parC</w:t>
            </w:r>
            <w:r w:rsidRPr="009723D0">
              <w:rPr>
                <w:rFonts w:cs="Times New Roman"/>
              </w:rPr>
              <w:t xml:space="preserve"> S87R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15.4% (6/39)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5.9% (1/17)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12.5% (7/56)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0.4212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1.0000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High-level quinolone resistance mutation</w:t>
            </w:r>
          </w:p>
        </w:tc>
      </w:tr>
      <w:tr w:rsidR="009723D0" w:rsidRPr="00C407F5" w:rsidTr="009723D0">
        <w:trPr>
          <w:trHeight w:val="1278"/>
          <w:jc w:val="center"/>
        </w:trPr>
        <w:tc>
          <w:tcPr>
            <w:tcW w:w="1749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β-lactam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  <w:i/>
              </w:rPr>
              <w:t>ponA</w:t>
            </w:r>
            <w:r w:rsidRPr="009723D0">
              <w:rPr>
                <w:rFonts w:cs="Times New Roman"/>
              </w:rPr>
              <w:t xml:space="preserve"> L421P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53.8% (21/39)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82.4% (14/17)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62.5% (35/56)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0.0705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0.4935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Penicillin-binding protein 1 mutation contributing to penicillin resistance</w:t>
            </w:r>
          </w:p>
        </w:tc>
      </w:tr>
      <w:tr w:rsidR="009723D0" w:rsidRPr="00C407F5" w:rsidTr="009723D0">
        <w:trPr>
          <w:trHeight w:val="454"/>
          <w:jc w:val="center"/>
        </w:trPr>
        <w:tc>
          <w:tcPr>
            <w:tcW w:w="1749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Efflux regulation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  <w:i/>
              </w:rPr>
              <w:t>mtrR</w:t>
            </w:r>
            <w:r w:rsidRPr="009723D0">
              <w:rPr>
                <w:rFonts w:cs="Times New Roman"/>
              </w:rPr>
              <w:t xml:space="preserve"> A-53del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10.3% (4/39)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41.2% (7/17)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19.6% (11/56)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0.0124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48722B" w:rsidRPr="009723D0" w:rsidRDefault="009723D0" w:rsidP="009723D0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0.0865 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Single-bp deletion in mtrR promoter; derepresses MtrCDE efflux pump</w:t>
            </w:r>
          </w:p>
        </w:tc>
      </w:tr>
      <w:tr w:rsidR="0048722B" w:rsidRPr="00C407F5" w:rsidTr="009723D0">
        <w:trPr>
          <w:trHeight w:val="454"/>
          <w:jc w:val="center"/>
        </w:trPr>
        <w:tc>
          <w:tcPr>
            <w:tcW w:w="11814" w:type="dxa"/>
            <w:gridSpan w:val="9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  <w:b/>
              </w:rPr>
            </w:pPr>
            <w:r w:rsidRPr="009723D0">
              <w:rPr>
                <w:rFonts w:cs="Times New Roman"/>
                <w:b/>
              </w:rPr>
              <w:t xml:space="preserve">Core housekeeping efflux pumps </w:t>
            </w:r>
          </w:p>
        </w:tc>
      </w:tr>
      <w:tr w:rsidR="009723D0" w:rsidRPr="00C407F5" w:rsidTr="009723D0">
        <w:trPr>
          <w:trHeight w:val="454"/>
          <w:jc w:val="center"/>
        </w:trPr>
        <w:tc>
          <w:tcPr>
            <w:tcW w:w="1749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Multi-drug efflux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  <w:i/>
              </w:rPr>
              <w:t>mtrC</w:t>
            </w:r>
            <w:r w:rsidRPr="009723D0">
              <w:rPr>
                <w:rFonts w:cs="Times New Roman"/>
              </w:rPr>
              <w:t xml:space="preserve"> / </w:t>
            </w:r>
            <w:r w:rsidRPr="009723D0">
              <w:rPr>
                <w:rFonts w:cs="Times New Roman"/>
                <w:i/>
              </w:rPr>
              <w:t>mtrD</w:t>
            </w:r>
            <w:r w:rsidRPr="009723D0">
              <w:rPr>
                <w:rFonts w:cs="Times New Roman"/>
              </w:rPr>
              <w:t xml:space="preserve"> / </w:t>
            </w:r>
            <w:r w:rsidRPr="009723D0">
              <w:rPr>
                <w:rFonts w:cs="Times New Roman"/>
                <w:i/>
              </w:rPr>
              <w:t>mtrE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100.0% (39/39)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100.0% (17/17)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100.0% (56/56)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—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—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Core structural efflux pump; constitutively present</w:t>
            </w:r>
          </w:p>
        </w:tc>
      </w:tr>
      <w:tr w:rsidR="009723D0" w:rsidRPr="00C407F5" w:rsidTr="009723D0">
        <w:trPr>
          <w:trHeight w:val="454"/>
          <w:jc w:val="center"/>
        </w:trPr>
        <w:tc>
          <w:tcPr>
            <w:tcW w:w="1749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Macrolide efflux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  <w:i/>
              </w:rPr>
              <w:t>macA</w:t>
            </w:r>
            <w:r w:rsidRPr="009723D0">
              <w:rPr>
                <w:rFonts w:cs="Times New Roman"/>
              </w:rPr>
              <w:t xml:space="preserve"> / </w:t>
            </w:r>
            <w:r w:rsidRPr="009723D0">
              <w:rPr>
                <w:rFonts w:cs="Times New Roman"/>
                <w:i/>
              </w:rPr>
              <w:t>macB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100.0% (39/39)</w:t>
            </w:r>
          </w:p>
        </w:tc>
        <w:tc>
          <w:tcPr>
            <w:tcW w:w="1097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100.0% (17/17)</w:t>
            </w:r>
          </w:p>
        </w:tc>
        <w:tc>
          <w:tcPr>
            <w:tcW w:w="113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100.0% (56/56)</w:t>
            </w:r>
          </w:p>
        </w:tc>
        <w:tc>
          <w:tcPr>
            <w:tcW w:w="1278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—</w:t>
            </w:r>
          </w:p>
        </w:tc>
        <w:tc>
          <w:tcPr>
            <w:tcW w:w="1402" w:type="dxa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—</w:t>
            </w:r>
          </w:p>
        </w:tc>
        <w:tc>
          <w:tcPr>
            <w:tcW w:w="2388" w:type="dxa"/>
            <w:gridSpan w:val="2"/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Core structural efflux pump; constitutively present</w:t>
            </w:r>
          </w:p>
        </w:tc>
      </w:tr>
      <w:tr w:rsidR="009723D0" w:rsidRPr="00C407F5" w:rsidTr="009723D0">
        <w:trPr>
          <w:trHeight w:val="454"/>
          <w:jc w:val="center"/>
        </w:trPr>
        <w:tc>
          <w:tcPr>
            <w:tcW w:w="1749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Fatty-acid efflux</w:t>
            </w:r>
          </w:p>
        </w:tc>
        <w:tc>
          <w:tcPr>
            <w:tcW w:w="165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  <w:i/>
              </w:rPr>
              <w:t>farA</w:t>
            </w:r>
          </w:p>
        </w:tc>
        <w:tc>
          <w:tcPr>
            <w:tcW w:w="111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100.0% (39/39)</w:t>
            </w:r>
          </w:p>
        </w:tc>
        <w:tc>
          <w:tcPr>
            <w:tcW w:w="109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100.0% (17/17)</w:t>
            </w:r>
          </w:p>
        </w:tc>
        <w:tc>
          <w:tcPr>
            <w:tcW w:w="113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100.0% (56/56)</w:t>
            </w:r>
          </w:p>
        </w:tc>
        <w:tc>
          <w:tcPr>
            <w:tcW w:w="127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—</w:t>
            </w:r>
          </w:p>
        </w:tc>
        <w:tc>
          <w:tcPr>
            <w:tcW w:w="14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—</w:t>
            </w:r>
          </w:p>
        </w:tc>
        <w:tc>
          <w:tcPr>
            <w:tcW w:w="2388" w:type="dxa"/>
            <w:gridSpan w:val="2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48722B" w:rsidRPr="009723D0" w:rsidRDefault="00A876D0" w:rsidP="009723D0">
            <w:pPr>
              <w:spacing w:after="0" w:line="240" w:lineRule="auto"/>
              <w:rPr>
                <w:rFonts w:cs="Times New Roman"/>
              </w:rPr>
            </w:pPr>
            <w:r w:rsidRPr="009723D0">
              <w:rPr>
                <w:rFonts w:cs="Times New Roman"/>
              </w:rPr>
              <w:t>Core structural efflux pump; constitutively present</w:t>
            </w:r>
          </w:p>
        </w:tc>
      </w:tr>
    </w:tbl>
    <w:p w:rsidR="0048722B" w:rsidRDefault="0048722B" w:rsidP="009723D0">
      <w:pPr>
        <w:spacing w:after="40" w:line="240" w:lineRule="auto"/>
        <w:ind w:left="283"/>
        <w:jc w:val="both"/>
        <w:rPr>
          <w:rFonts w:cs="Times New Roman"/>
          <w:i/>
        </w:rPr>
      </w:pPr>
    </w:p>
    <w:p w:rsidR="009723D0" w:rsidRDefault="009723D0" w:rsidP="009723D0">
      <w:pPr>
        <w:spacing w:after="40" w:line="240" w:lineRule="auto"/>
        <w:ind w:left="283"/>
        <w:jc w:val="both"/>
        <w:rPr>
          <w:rFonts w:cs="Times New Roman"/>
          <w:i/>
        </w:rPr>
      </w:pPr>
    </w:p>
    <w:p w:rsidR="0048722B" w:rsidRDefault="0048722B" w:rsidP="00C407F5">
      <w:pPr>
        <w:spacing w:line="240" w:lineRule="auto"/>
        <w:jc w:val="both"/>
        <w:rPr>
          <w:rFonts w:cs="Times New Roman"/>
          <w:i/>
        </w:rPr>
      </w:pPr>
    </w:p>
    <w:p w:rsidR="0048722B" w:rsidRPr="00C407F5" w:rsidRDefault="0048722B" w:rsidP="00C407F5">
      <w:pPr>
        <w:spacing w:line="240" w:lineRule="auto"/>
        <w:jc w:val="both"/>
        <w:rPr>
          <w:rFonts w:cs="Times New Roman"/>
        </w:rPr>
      </w:pPr>
    </w:p>
    <w:sectPr w:rsidR="0048722B" w:rsidRPr="00C407F5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6D65"/>
    <w:rsid w:val="0048722B"/>
    <w:rsid w:val="00593182"/>
    <w:rsid w:val="009723D0"/>
    <w:rsid w:val="00A876D0"/>
    <w:rsid w:val="00AA1D8D"/>
    <w:rsid w:val="00B47730"/>
    <w:rsid w:val="00B83219"/>
    <w:rsid w:val="00C407F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7B66B1"/>
  <w14:defaultImageDpi w14:val="300"/>
  <w15:docId w15:val="{95A1AA56-09EF-4753-A475-576B6E41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723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CD3A3B-27C8-47AC-B12B-2A81890FA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ABUBAKARI</cp:lastModifiedBy>
  <cp:revision>2</cp:revision>
  <dcterms:created xsi:type="dcterms:W3CDTF">2026-06-24T21:39:00Z</dcterms:created>
  <dcterms:modified xsi:type="dcterms:W3CDTF">2026-06-24T21:39:00Z</dcterms:modified>
  <cp:category/>
</cp:coreProperties>
</file>