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A0B" w:rsidRDefault="006B0A0B" w:rsidP="006B0A0B">
      <w:pPr>
        <w:pStyle w:val="NormalWeb"/>
      </w:pPr>
      <w:r>
        <w:rPr>
          <w:noProof/>
        </w:rPr>
        <w:drawing>
          <wp:inline distT="0" distB="0" distL="0" distR="0" wp14:anchorId="25BB8892" wp14:editId="4DAADC7D">
            <wp:extent cx="5610225" cy="4676140"/>
            <wp:effectExtent l="0" t="0" r="9525" b="0"/>
            <wp:docPr id="1" name="Picture 1" descr="\\wsl.localhost\Ubuntu-24.04\home\abdulwasid\ng_ghana_analysis\results\figures\Supplementary_Figure_S3_phenotype_concordan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sl.localhost\Ubuntu-24.04\home\abdulwasid\ng_ghana_analysis\results\figures\Supplementary_Figure_S3_phenotype_concordanc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34" t="7742" r="8304" b="11386"/>
                    <a:stretch/>
                  </pic:blipFill>
                  <pic:spPr bwMode="auto">
                    <a:xfrm>
                      <a:off x="0" y="0"/>
                      <a:ext cx="5616158" cy="4681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6D65" w:rsidRDefault="006B0A0B" w:rsidP="00C407F5">
      <w:pPr>
        <w:spacing w:after="360" w:line="240" w:lineRule="auto"/>
        <w:jc w:val="both"/>
        <w:rPr>
          <w:rFonts w:cs="Times New Roman"/>
        </w:rPr>
      </w:pPr>
      <w:r w:rsidRPr="006B0A0B">
        <w:rPr>
          <w:rFonts w:cs="Times New Roman"/>
          <w:b/>
        </w:rPr>
        <w:t>Supplementary Figure S3. Genotype-Phenotype Susc</w:t>
      </w:r>
      <w:r>
        <w:rPr>
          <w:rFonts w:cs="Times New Roman"/>
          <w:b/>
        </w:rPr>
        <w:t>eptibility Concordance Analysis</w:t>
      </w:r>
      <w:r w:rsidR="00593182" w:rsidRPr="00593182">
        <w:rPr>
          <w:rFonts w:cs="Times New Roman"/>
        </w:rPr>
        <w:t xml:space="preserve">. </w:t>
      </w:r>
      <w:r w:rsidRPr="006B0A0B">
        <w:rPr>
          <w:rFonts w:cs="Times New Roman"/>
        </w:rPr>
        <w:t xml:space="preserve">Comprehensive concordance mapping between in </w:t>
      </w:r>
      <w:proofErr w:type="spellStart"/>
      <w:r w:rsidRPr="006B0A0B">
        <w:rPr>
          <w:rFonts w:cs="Times New Roman"/>
        </w:rPr>
        <w:t>silico</w:t>
      </w:r>
      <w:proofErr w:type="spellEnd"/>
      <w:r w:rsidRPr="006B0A0B">
        <w:rPr>
          <w:rFonts w:cs="Times New Roman"/>
        </w:rPr>
        <w:t xml:space="preserve"> genotypic AMR predictions (this study) and qualitative categorical (S/I/R) phenotypic antimicrobial susceptibility testing (AST) results publish</w:t>
      </w:r>
      <w:r>
        <w:rPr>
          <w:rFonts w:cs="Times New Roman"/>
        </w:rPr>
        <w:t xml:space="preserve">ed by </w:t>
      </w:r>
      <w:proofErr w:type="spellStart"/>
      <w:r>
        <w:rPr>
          <w:rFonts w:cs="Times New Roman"/>
        </w:rPr>
        <w:t>Agbodzi</w:t>
      </w:r>
      <w:proofErr w:type="spellEnd"/>
      <w:r>
        <w:rPr>
          <w:rFonts w:cs="Times New Roman"/>
        </w:rPr>
        <w:t xml:space="preserve"> et al. (2023)</w:t>
      </w:r>
      <w:r w:rsidRPr="006B0A0B">
        <w:rPr>
          <w:rFonts w:cs="Times New Roman"/>
        </w:rPr>
        <w:t>. (A) Per-antibiotic percentage concordance across six clinica</w:t>
      </w:r>
      <w:bookmarkStart w:id="0" w:name="_GoBack"/>
      <w:bookmarkEnd w:id="0"/>
      <w:r w:rsidRPr="006B0A0B">
        <w:rPr>
          <w:rFonts w:cs="Times New Roman"/>
        </w:rPr>
        <w:t xml:space="preserve">l drugs (penicillin, tetracycline, ciprofloxacin, azithromycin, ceftriaxone, and </w:t>
      </w:r>
      <w:proofErr w:type="spellStart"/>
      <w:r w:rsidRPr="006B0A0B">
        <w:rPr>
          <w:rFonts w:cs="Times New Roman"/>
        </w:rPr>
        <w:t>cefixime</w:t>
      </w:r>
      <w:proofErr w:type="spellEnd"/>
      <w:r w:rsidRPr="006B0A0B">
        <w:rPr>
          <w:rFonts w:cs="Times New Roman"/>
        </w:rPr>
        <w:t xml:space="preserve">). (B) Stacked counts of concordant (teal) and discordant (orange) isolates per drug. (C) Pooled genotype-phenotype confusion matrix (336 total isolate-drug observations). (D) </w:t>
      </w:r>
      <w:proofErr w:type="spellStart"/>
      <w:r w:rsidRPr="006B0A0B">
        <w:rPr>
          <w:rFonts w:cs="Times New Roman"/>
        </w:rPr>
        <w:t>Heatmap</w:t>
      </w:r>
      <w:proofErr w:type="spellEnd"/>
      <w:r w:rsidRPr="006B0A0B">
        <w:rPr>
          <w:rFonts w:cs="Times New Roman"/>
        </w:rPr>
        <w:t xml:space="preserve"> of isolate-level categorical concordance mapped against standard GCA accessions.</w:t>
      </w:r>
    </w:p>
    <w:p w:rsidR="00466D65" w:rsidRPr="00C407F5" w:rsidRDefault="00466D65" w:rsidP="00C407F5">
      <w:pPr>
        <w:spacing w:after="360" w:line="240" w:lineRule="auto"/>
        <w:jc w:val="both"/>
        <w:rPr>
          <w:rFonts w:cs="Times New Roman"/>
        </w:rPr>
      </w:pPr>
    </w:p>
    <w:sectPr w:rsidR="00466D65" w:rsidRPr="00C407F5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393E"/>
    <w:rsid w:val="00034616"/>
    <w:rsid w:val="0006063C"/>
    <w:rsid w:val="0015074B"/>
    <w:rsid w:val="0029639D"/>
    <w:rsid w:val="00326F90"/>
    <w:rsid w:val="00466D65"/>
    <w:rsid w:val="0048722B"/>
    <w:rsid w:val="00593182"/>
    <w:rsid w:val="006B0A0B"/>
    <w:rsid w:val="009723D0"/>
    <w:rsid w:val="00A876D0"/>
    <w:rsid w:val="00AA1D8D"/>
    <w:rsid w:val="00B47730"/>
    <w:rsid w:val="00C407F5"/>
    <w:rsid w:val="00CB0664"/>
    <w:rsid w:val="00E849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F307CD"/>
  <w14:defaultImageDpi w14:val="300"/>
  <w15:docId w15:val="{95A1AA56-09EF-4753-A475-576B6E41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723D0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B0A0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3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4418A0A-ADFF-471C-A9DE-371D183E6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ABUBAKARI</cp:lastModifiedBy>
  <cp:revision>5</cp:revision>
  <dcterms:created xsi:type="dcterms:W3CDTF">2026-06-24T21:33:00Z</dcterms:created>
  <dcterms:modified xsi:type="dcterms:W3CDTF">2026-07-19T09:47:00Z</dcterms:modified>
  <cp:category/>
</cp:coreProperties>
</file>