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C0A58" w14:textId="654C4564" w:rsidR="00903034" w:rsidRPr="00EB6A3E" w:rsidRDefault="00EB6A3E" w:rsidP="00740A42">
      <w:pPr>
        <w:spacing w:after="600" w:line="480" w:lineRule="auto"/>
        <w:jc w:val="center"/>
        <w:rPr>
          <w:rFonts w:ascii="Helvetica" w:hAnsi="Helvetica" w:cstheme="minorHAnsi"/>
          <w:bCs/>
          <w:lang w:val="en-GB"/>
        </w:rPr>
      </w:pPr>
      <w:r w:rsidRPr="00EB6A3E">
        <w:rPr>
          <w:rFonts w:ascii="Helvetica" w:eastAsiaTheme="majorEastAsia" w:hAnsi="Helvetica" w:cs="Arial"/>
          <w:sz w:val="36"/>
          <w:szCs w:val="36"/>
          <w:lang w:val="en-US" w:eastAsia="it-IT"/>
        </w:rPr>
        <w:t>Dengue virus serotype classification from complete genomes using a Transformer with chunk-based sequence modeling and explainability analysis</w:t>
      </w:r>
    </w:p>
    <w:p w14:paraId="4BB3368B" w14:textId="7893B7FF" w:rsidR="00A234F1" w:rsidRPr="00740A42" w:rsidRDefault="00A234F1" w:rsidP="00740A42">
      <w:pPr>
        <w:pStyle w:val="Ugo"/>
        <w:shd w:val="clear" w:color="auto" w:fill="auto"/>
        <w:spacing w:after="600" w:line="480" w:lineRule="auto"/>
        <w:jc w:val="center"/>
        <w:rPr>
          <w:rFonts w:ascii="Helvetica" w:eastAsiaTheme="majorEastAsia" w:hAnsi="Helvetica"/>
          <w:color w:val="auto"/>
          <w:sz w:val="36"/>
          <w:szCs w:val="36"/>
          <w:lang w:val="en-US"/>
        </w:rPr>
      </w:pPr>
      <w:r w:rsidRPr="0026639A">
        <w:rPr>
          <w:rFonts w:ascii="Helvetica" w:eastAsiaTheme="majorEastAsia" w:hAnsi="Helvetica"/>
          <w:bCs/>
          <w:color w:val="auto"/>
          <w:sz w:val="36"/>
          <w:szCs w:val="36"/>
          <w:lang w:val="en-US"/>
        </w:rPr>
        <w:t xml:space="preserve">SUPPLEMENTARY </w:t>
      </w:r>
      <w:r w:rsidR="00F03F9C" w:rsidRPr="0026639A">
        <w:rPr>
          <w:rFonts w:ascii="Helvetica" w:eastAsiaTheme="majorEastAsia" w:hAnsi="Helvetica"/>
          <w:bCs/>
          <w:color w:val="auto"/>
          <w:sz w:val="36"/>
          <w:szCs w:val="36"/>
          <w:lang w:val="en-US"/>
        </w:rPr>
        <w:t>APPENDIX</w:t>
      </w:r>
    </w:p>
    <w:p w14:paraId="289E7BBE" w14:textId="43D2BFE9" w:rsidR="00D7292B" w:rsidRPr="001E4D4A" w:rsidRDefault="001E4D4A" w:rsidP="00A96E65">
      <w:pPr>
        <w:pStyle w:val="ListParagraph"/>
        <w:numPr>
          <w:ilvl w:val="0"/>
          <w:numId w:val="2"/>
        </w:numPr>
        <w:spacing w:after="600" w:line="480" w:lineRule="auto"/>
        <w:rPr>
          <w:rFonts w:ascii="Helvetica" w:hAnsi="Helvetica" w:cstheme="minorHAnsi"/>
          <w:b/>
          <w:sz w:val="22"/>
          <w:szCs w:val="22"/>
          <w:lang w:val="en-US"/>
        </w:rPr>
      </w:pPr>
      <w:r w:rsidRPr="0026639A">
        <w:rPr>
          <w:rFonts w:ascii="Helvetica" w:hAnsi="Helvetica" w:cstheme="minorHAnsi"/>
          <w:b/>
          <w:sz w:val="22"/>
          <w:szCs w:val="22"/>
          <w:lang w:val="en-US"/>
        </w:rPr>
        <w:t xml:space="preserve">Supplementary </w:t>
      </w:r>
      <w:r w:rsidRPr="001E4D4A">
        <w:rPr>
          <w:rFonts w:ascii="Helvetica" w:hAnsi="Helvetica" w:cstheme="minorHAnsi"/>
          <w:b/>
          <w:sz w:val="22"/>
          <w:szCs w:val="22"/>
        </w:rPr>
        <w:t>Methods</w:t>
      </w:r>
    </w:p>
    <w:p w14:paraId="464A1593" w14:textId="750D1F07" w:rsidR="006D2C6C" w:rsidRPr="0026639A" w:rsidRDefault="006D2C6C" w:rsidP="00A96E65">
      <w:pPr>
        <w:pStyle w:val="ListParagraph"/>
        <w:numPr>
          <w:ilvl w:val="0"/>
          <w:numId w:val="2"/>
        </w:numPr>
        <w:spacing w:after="600" w:line="480" w:lineRule="auto"/>
        <w:rPr>
          <w:rFonts w:ascii="Helvetica" w:hAnsi="Helvetica" w:cstheme="minorHAnsi"/>
          <w:b/>
          <w:sz w:val="22"/>
          <w:szCs w:val="22"/>
          <w:lang w:val="en-US"/>
        </w:rPr>
      </w:pPr>
      <w:r w:rsidRPr="0026639A">
        <w:rPr>
          <w:rFonts w:ascii="Helvetica" w:hAnsi="Helvetica" w:cstheme="minorHAnsi"/>
          <w:b/>
          <w:sz w:val="22"/>
          <w:szCs w:val="22"/>
          <w:lang w:val="en-US"/>
        </w:rPr>
        <w:t>Supplementary Results</w:t>
      </w:r>
    </w:p>
    <w:p w14:paraId="0E3CFE34" w14:textId="505D4839" w:rsidR="00A42CD4" w:rsidRPr="00FD1754" w:rsidRDefault="00072F8C" w:rsidP="00A96E65">
      <w:pPr>
        <w:pStyle w:val="ListParagraph"/>
        <w:numPr>
          <w:ilvl w:val="0"/>
          <w:numId w:val="2"/>
        </w:numPr>
        <w:spacing w:after="600" w:line="480" w:lineRule="auto"/>
        <w:rPr>
          <w:rFonts w:ascii="Helvetica" w:hAnsi="Helvetica" w:cstheme="minorHAnsi"/>
          <w:b/>
          <w:sz w:val="22"/>
          <w:szCs w:val="22"/>
          <w:lang w:val="en-US"/>
        </w:rPr>
      </w:pPr>
      <w:r w:rsidRPr="00B758E7">
        <w:rPr>
          <w:rFonts w:ascii="Helvetica" w:hAnsi="Helvetica" w:cstheme="minorHAnsi"/>
          <w:b/>
          <w:sz w:val="22"/>
          <w:szCs w:val="22"/>
          <w:lang w:val="en-US"/>
        </w:rPr>
        <w:t>Figure</w:t>
      </w:r>
      <w:r w:rsidR="00A42CD4" w:rsidRPr="00B758E7">
        <w:rPr>
          <w:rFonts w:ascii="Helvetica" w:hAnsi="Helvetica" w:cstheme="minorHAnsi"/>
          <w:b/>
          <w:sz w:val="22"/>
          <w:szCs w:val="22"/>
          <w:lang w:val="en-US"/>
        </w:rPr>
        <w:t xml:space="preserve"> S</w:t>
      </w:r>
      <w:r w:rsidRPr="00B758E7">
        <w:rPr>
          <w:rFonts w:ascii="Helvetica" w:hAnsi="Helvetica" w:cstheme="minorHAnsi"/>
          <w:b/>
          <w:sz w:val="22"/>
          <w:szCs w:val="22"/>
          <w:lang w:val="en-US"/>
        </w:rPr>
        <w:t>1</w:t>
      </w:r>
    </w:p>
    <w:p w14:paraId="05F24FF8" w14:textId="2E117972" w:rsidR="00FD1754" w:rsidRPr="0026639A" w:rsidRDefault="00FD1754" w:rsidP="00A96E65">
      <w:pPr>
        <w:pStyle w:val="ListParagraph"/>
        <w:numPr>
          <w:ilvl w:val="0"/>
          <w:numId w:val="2"/>
        </w:numPr>
        <w:spacing w:after="600" w:line="480" w:lineRule="auto"/>
        <w:rPr>
          <w:rFonts w:ascii="Helvetica" w:hAnsi="Helvetica" w:cstheme="minorHAnsi"/>
          <w:b/>
          <w:sz w:val="22"/>
          <w:szCs w:val="22"/>
          <w:lang w:val="en-US"/>
        </w:rPr>
      </w:pPr>
      <w:r w:rsidRPr="00FD1754">
        <w:rPr>
          <w:rFonts w:ascii="Helvetica" w:hAnsi="Helvetica" w:cstheme="minorHAnsi"/>
          <w:b/>
          <w:sz w:val="22"/>
          <w:szCs w:val="22"/>
          <w:lang w:val="en-US"/>
        </w:rPr>
        <w:t>Figure S2</w:t>
      </w:r>
    </w:p>
    <w:p w14:paraId="40AD67CC" w14:textId="2379250E" w:rsidR="00072F8C" w:rsidRDefault="00072F8C" w:rsidP="00A96E65">
      <w:pPr>
        <w:pStyle w:val="ListParagraph"/>
        <w:numPr>
          <w:ilvl w:val="0"/>
          <w:numId w:val="2"/>
        </w:numPr>
        <w:spacing w:after="600" w:line="480" w:lineRule="auto"/>
        <w:rPr>
          <w:rFonts w:ascii="Helvetica" w:hAnsi="Helvetica" w:cstheme="minorHAnsi"/>
          <w:b/>
          <w:sz w:val="22"/>
          <w:szCs w:val="22"/>
          <w:lang w:val="en-US"/>
        </w:rPr>
      </w:pPr>
      <w:r w:rsidRPr="00B758E7">
        <w:rPr>
          <w:rFonts w:ascii="Helvetica" w:hAnsi="Helvetica" w:cstheme="minorHAnsi"/>
          <w:b/>
          <w:sz w:val="22"/>
          <w:szCs w:val="22"/>
          <w:lang w:val="en-US"/>
        </w:rPr>
        <w:t>Figure S</w:t>
      </w:r>
      <w:r w:rsidR="00FD1754">
        <w:rPr>
          <w:rFonts w:ascii="Helvetica" w:hAnsi="Helvetica" w:cstheme="minorHAnsi"/>
          <w:b/>
          <w:sz w:val="22"/>
          <w:szCs w:val="22"/>
          <w:lang w:val="en-US"/>
        </w:rPr>
        <w:t>3</w:t>
      </w:r>
    </w:p>
    <w:p w14:paraId="2DA964F8" w14:textId="7C882AC2" w:rsidR="00BB4577" w:rsidRPr="00FD1754" w:rsidRDefault="00A8484F" w:rsidP="00A96E65">
      <w:pPr>
        <w:pStyle w:val="ListParagraph"/>
        <w:numPr>
          <w:ilvl w:val="0"/>
          <w:numId w:val="2"/>
        </w:numPr>
        <w:spacing w:after="600" w:line="480" w:lineRule="auto"/>
        <w:rPr>
          <w:rFonts w:ascii="Helvetica" w:hAnsi="Helvetica" w:cstheme="minorHAnsi"/>
          <w:b/>
          <w:sz w:val="22"/>
          <w:szCs w:val="22"/>
          <w:lang w:val="en-US"/>
        </w:rPr>
      </w:pPr>
      <w:r w:rsidRPr="00B758E7">
        <w:rPr>
          <w:rFonts w:ascii="Helvetica" w:hAnsi="Helvetica" w:cstheme="minorHAnsi"/>
          <w:b/>
          <w:sz w:val="22"/>
          <w:szCs w:val="22"/>
          <w:lang w:val="en-US"/>
        </w:rPr>
        <w:t>Figure S</w:t>
      </w:r>
      <w:r w:rsidR="00FD1754">
        <w:rPr>
          <w:rFonts w:ascii="Helvetica" w:hAnsi="Helvetica" w:cstheme="minorHAnsi"/>
          <w:b/>
          <w:sz w:val="22"/>
          <w:szCs w:val="22"/>
          <w:lang w:val="en-US"/>
        </w:rPr>
        <w:t>4</w:t>
      </w:r>
    </w:p>
    <w:p w14:paraId="756E2AB5" w14:textId="0EDD550F" w:rsidR="00FD1754" w:rsidRPr="00995897" w:rsidRDefault="00CF3006" w:rsidP="00A96E65">
      <w:pPr>
        <w:pStyle w:val="ListParagraph"/>
        <w:numPr>
          <w:ilvl w:val="0"/>
          <w:numId w:val="2"/>
        </w:numPr>
        <w:spacing w:after="600" w:line="480" w:lineRule="auto"/>
        <w:rPr>
          <w:rFonts w:ascii="Helvetica" w:hAnsi="Helvetica" w:cstheme="minorHAnsi"/>
          <w:b/>
          <w:sz w:val="22"/>
          <w:szCs w:val="22"/>
          <w:lang w:val="en-US"/>
        </w:rPr>
      </w:pPr>
      <w:r w:rsidRPr="00CF3006">
        <w:rPr>
          <w:rFonts w:ascii="Helvetica" w:hAnsi="Helvetica" w:cstheme="minorHAnsi"/>
          <w:b/>
          <w:sz w:val="22"/>
          <w:szCs w:val="22"/>
          <w:lang w:val="en-US"/>
        </w:rPr>
        <w:t>Figure S5</w:t>
      </w:r>
    </w:p>
    <w:p w14:paraId="1A0612AB" w14:textId="0E8F6404" w:rsidR="00746FF1" w:rsidRDefault="00746FF1" w:rsidP="00A96E65">
      <w:pPr>
        <w:pStyle w:val="ListParagraph"/>
        <w:numPr>
          <w:ilvl w:val="0"/>
          <w:numId w:val="2"/>
        </w:numPr>
        <w:spacing w:after="600" w:line="480" w:lineRule="auto"/>
        <w:rPr>
          <w:rFonts w:ascii="Helvetica" w:hAnsi="Helvetica" w:cstheme="minorHAnsi"/>
          <w:b/>
          <w:sz w:val="22"/>
          <w:szCs w:val="22"/>
          <w:lang w:val="en-US"/>
        </w:rPr>
      </w:pPr>
      <w:r>
        <w:rPr>
          <w:rFonts w:ascii="Helvetica" w:hAnsi="Helvetica" w:cstheme="minorHAnsi"/>
          <w:b/>
          <w:sz w:val="22"/>
          <w:szCs w:val="22"/>
          <w:lang w:val="en-US"/>
        </w:rPr>
        <w:t>Table S1</w:t>
      </w:r>
    </w:p>
    <w:p w14:paraId="7177488C" w14:textId="020B6E04" w:rsidR="00995897" w:rsidRPr="00C4099C" w:rsidRDefault="00995897" w:rsidP="00A96E65">
      <w:pPr>
        <w:pStyle w:val="ListParagraph"/>
        <w:numPr>
          <w:ilvl w:val="0"/>
          <w:numId w:val="2"/>
        </w:numPr>
        <w:spacing w:after="600" w:line="480" w:lineRule="auto"/>
        <w:rPr>
          <w:rFonts w:ascii="Helvetica" w:hAnsi="Helvetica" w:cstheme="minorHAnsi"/>
          <w:b/>
          <w:sz w:val="22"/>
          <w:szCs w:val="22"/>
          <w:lang w:val="en-US"/>
        </w:rPr>
      </w:pPr>
      <w:r>
        <w:rPr>
          <w:rFonts w:ascii="Helvetica" w:hAnsi="Helvetica" w:cstheme="minorHAnsi"/>
          <w:b/>
          <w:sz w:val="22"/>
          <w:szCs w:val="22"/>
          <w:lang w:val="en-US"/>
        </w:rPr>
        <w:t>Table S</w:t>
      </w:r>
      <w:r w:rsidR="00B61FC3">
        <w:rPr>
          <w:rFonts w:ascii="Helvetica" w:hAnsi="Helvetica" w:cstheme="minorHAnsi"/>
          <w:b/>
          <w:sz w:val="22"/>
          <w:szCs w:val="22"/>
          <w:lang w:val="en-US"/>
        </w:rPr>
        <w:t>2</w:t>
      </w:r>
    </w:p>
    <w:p w14:paraId="62464D27" w14:textId="71BD1301" w:rsidR="00C4099C" w:rsidRDefault="00C4099C" w:rsidP="00A96E65">
      <w:pPr>
        <w:pStyle w:val="ListParagraph"/>
        <w:numPr>
          <w:ilvl w:val="0"/>
          <w:numId w:val="2"/>
        </w:numPr>
        <w:spacing w:after="600" w:line="480" w:lineRule="auto"/>
        <w:rPr>
          <w:rFonts w:ascii="Helvetica" w:hAnsi="Helvetica" w:cstheme="minorHAnsi"/>
          <w:b/>
          <w:sz w:val="22"/>
          <w:szCs w:val="22"/>
          <w:lang w:val="en-US"/>
        </w:rPr>
      </w:pPr>
      <w:r>
        <w:rPr>
          <w:rFonts w:ascii="Helvetica" w:hAnsi="Helvetica" w:cstheme="minorHAnsi"/>
          <w:b/>
          <w:sz w:val="22"/>
          <w:szCs w:val="22"/>
          <w:lang w:val="en-US"/>
        </w:rPr>
        <w:t>Table S</w:t>
      </w:r>
      <w:r w:rsidR="00B61FC3">
        <w:rPr>
          <w:rFonts w:ascii="Helvetica" w:hAnsi="Helvetica" w:cstheme="minorHAnsi"/>
          <w:b/>
          <w:sz w:val="22"/>
          <w:szCs w:val="22"/>
          <w:lang w:val="en-US"/>
        </w:rPr>
        <w:t>3</w:t>
      </w:r>
    </w:p>
    <w:p w14:paraId="0054EC9D" w14:textId="45CCC09C" w:rsidR="00F84D91" w:rsidRPr="00C4099C" w:rsidRDefault="00A01AA1" w:rsidP="005A4ED5">
      <w:pPr>
        <w:pStyle w:val="ListParagraph"/>
        <w:numPr>
          <w:ilvl w:val="0"/>
          <w:numId w:val="2"/>
        </w:numPr>
        <w:spacing w:after="600" w:line="480" w:lineRule="auto"/>
        <w:jc w:val="both"/>
        <w:rPr>
          <w:rFonts w:ascii="Helvetica" w:hAnsi="Helvetica" w:cstheme="minorHAnsi"/>
          <w:bCs/>
          <w:i/>
          <w:iCs/>
          <w:sz w:val="22"/>
          <w:szCs w:val="22"/>
          <w:lang w:val="en-US"/>
        </w:rPr>
      </w:pPr>
      <w:r w:rsidRPr="00C4099C">
        <w:rPr>
          <w:rFonts w:ascii="Helvetica" w:hAnsi="Helvetica" w:cstheme="minorHAnsi"/>
          <w:b/>
          <w:sz w:val="22"/>
          <w:szCs w:val="22"/>
          <w:lang w:val="en-US"/>
        </w:rPr>
        <w:t>References</w:t>
      </w:r>
    </w:p>
    <w:p w14:paraId="7C63F5C7" w14:textId="77777777" w:rsidR="00760C02" w:rsidRPr="00472648" w:rsidRDefault="00760C02" w:rsidP="0061190F">
      <w:pPr>
        <w:jc w:val="both"/>
        <w:rPr>
          <w:rFonts w:ascii="Helvetica" w:hAnsi="Helvetica" w:cstheme="minorHAnsi"/>
          <w:bCs/>
          <w:sz w:val="22"/>
          <w:szCs w:val="22"/>
          <w:lang w:val="en-US"/>
        </w:rPr>
        <w:sectPr w:rsidR="00760C02" w:rsidRPr="00472648" w:rsidSect="004D4037">
          <w:footerReference w:type="even" r:id="rId11"/>
          <w:footerReference w:type="default" r:id="rId12"/>
          <w:pgSz w:w="11900" w:h="16840"/>
          <w:pgMar w:top="1440" w:right="1440" w:bottom="1440" w:left="1440" w:header="708" w:footer="708" w:gutter="0"/>
          <w:cols w:space="708"/>
          <w:docGrid w:linePitch="360"/>
        </w:sectPr>
      </w:pPr>
    </w:p>
    <w:p w14:paraId="18CBD2CF" w14:textId="08D50CDD" w:rsidR="00190609" w:rsidRDefault="003B2746" w:rsidP="00B04677">
      <w:pPr>
        <w:spacing w:after="120" w:line="480" w:lineRule="auto"/>
        <w:jc w:val="both"/>
        <w:rPr>
          <w:rFonts w:ascii="Helvetica" w:hAnsi="Helvetica" w:cstheme="minorHAnsi"/>
          <w:b/>
          <w:sz w:val="22"/>
          <w:szCs w:val="22"/>
          <w:lang w:val="en-US"/>
        </w:rPr>
      </w:pPr>
      <w:r w:rsidRPr="0026639A">
        <w:rPr>
          <w:rFonts w:ascii="Helvetica" w:hAnsi="Helvetica" w:cstheme="minorHAnsi"/>
          <w:b/>
          <w:sz w:val="22"/>
          <w:szCs w:val="22"/>
          <w:lang w:val="en-US"/>
        </w:rPr>
        <w:t xml:space="preserve">Supplementary </w:t>
      </w:r>
      <w:r w:rsidRPr="003B2746">
        <w:rPr>
          <w:rFonts w:ascii="Helvetica" w:hAnsi="Helvetica" w:cstheme="minorHAnsi"/>
          <w:b/>
          <w:sz w:val="22"/>
          <w:szCs w:val="22"/>
          <w:lang w:val="en-US"/>
        </w:rPr>
        <w:t>Methods</w:t>
      </w:r>
    </w:p>
    <w:p w14:paraId="2A8B5145" w14:textId="7D8C67AE" w:rsidR="000E4FA3" w:rsidRPr="00430140" w:rsidRDefault="00430140" w:rsidP="00B04677">
      <w:pPr>
        <w:spacing w:after="120" w:line="480" w:lineRule="auto"/>
        <w:jc w:val="both"/>
        <w:rPr>
          <w:rFonts w:ascii="Helvetica" w:hAnsi="Helvetica"/>
          <w:bCs/>
          <w:sz w:val="20"/>
          <w:szCs w:val="20"/>
          <w:u w:val="single"/>
          <w:lang w:val="en-GB"/>
        </w:rPr>
      </w:pPr>
      <w:r w:rsidRPr="00430140">
        <w:rPr>
          <w:rFonts w:ascii="Helvetica" w:hAnsi="Helvetica"/>
          <w:bCs/>
          <w:sz w:val="20"/>
          <w:szCs w:val="20"/>
          <w:u w:val="single"/>
          <w:lang w:val="en-GB"/>
        </w:rPr>
        <w:t>CD-HIT clustering and MSA</w:t>
      </w:r>
    </w:p>
    <w:p w14:paraId="1EE60445" w14:textId="496C941A" w:rsidR="000A37DC" w:rsidRDefault="00532C90" w:rsidP="00B04677">
      <w:pPr>
        <w:spacing w:after="120" w:line="480" w:lineRule="auto"/>
        <w:jc w:val="both"/>
        <w:rPr>
          <w:rFonts w:ascii="Helvetica" w:hAnsi="Helvetica"/>
          <w:bCs/>
          <w:sz w:val="20"/>
          <w:szCs w:val="20"/>
          <w:lang w:val="en-GB"/>
        </w:rPr>
      </w:pPr>
      <w:r w:rsidRPr="00532C90">
        <w:rPr>
          <w:rFonts w:ascii="Helvetica" w:hAnsi="Helvetica"/>
          <w:bCs/>
          <w:sz w:val="20"/>
          <w:szCs w:val="20"/>
          <w:lang w:val="en-GB"/>
        </w:rPr>
        <w:t xml:space="preserve">We performed a CD-HIT-based sequence reduction using CD-HIT-EST </w:t>
      </w:r>
      <w:r w:rsidR="00A242D0">
        <w:rPr>
          <w:rFonts w:ascii="Helvetica" w:hAnsi="Helvetica"/>
          <w:bCs/>
          <w:sz w:val="20"/>
          <w:szCs w:val="20"/>
          <w:lang w:val="en-GB"/>
        </w:rPr>
        <w:fldChar w:fldCharType="begin"/>
      </w:r>
      <w:r w:rsidR="00AB3A76">
        <w:rPr>
          <w:rFonts w:ascii="Helvetica" w:hAnsi="Helvetica"/>
          <w:bCs/>
          <w:sz w:val="20"/>
          <w:szCs w:val="20"/>
          <w:lang w:val="en-GB"/>
        </w:rPr>
        <w:instrText xml:space="preserve"> ADDIN ZOTERO_ITEM CSL_CITATION {"citationID":"2RXKxl38","properties":{"unsorted":false,"formattedCitation":"[1]","plainCitation":"[1]","noteIndex":0},"citationItems":[{"id":"HaI2VY0N/IFiKjpqi","uris":["http://zotero.org/users/16884032/items/ZJYVNSHG"],"itemData":{"id":712,"type":"article-journal","abstract":"Motivation: In 2001 and 2002, we published two papers (Bioinformatics, 17, 282–283, Bioinformatics, 18, 77–82) describing an ultrafast protein sequence clustering program called cd-hit. This program can efficiently cluster a huge protein database with millions of sequences. However, the applications of the underlying algorithm are not limited to only protein sequences clustering, here we present several new programs using the same algorithm including cd-hit-2d, cd-hit-est and cd-hit-est-2d. Cd-hit-2d compares two protein datasets and reports similar matches between them; cd-hit-est clusters a DNA/ RNA sequence database and cd-hit-est-2d compares two nucleotide datasets. All these programs can handle huge datasets with millions of sequences and can be hundreds of times faster than methods based on the popular sequence comparison and database search tools, such as BLAST.","container-title":"Bioinformatics","DOI":"10.1093/bioinformatics/btl158","ISSN":"1367-4811, 1367-4803","issue":"13","language":"en","page":"1658-1659","source":"DOI.org (Crossref)","title":"Cd-hit: a fast program for clustering and comparing large sets of protein or nucleotide sequences","title-short":"Cd-hit","volume":"22","author":[{"family":"Li","given":"Weizhong"},{"family":"Godzik","given":"Adam"}],"issued":{"date-parts":[["2006",7,1]]}}}],"schema":"https://github.com/citation-style-language/schema/raw/master/csl-citation.json"} </w:instrText>
      </w:r>
      <w:r w:rsidR="00A242D0">
        <w:rPr>
          <w:rFonts w:ascii="Helvetica" w:hAnsi="Helvetica"/>
          <w:bCs/>
          <w:sz w:val="20"/>
          <w:szCs w:val="20"/>
          <w:lang w:val="en-GB"/>
        </w:rPr>
        <w:fldChar w:fldCharType="separate"/>
      </w:r>
      <w:r w:rsidR="00AB3A76" w:rsidRPr="00AB3A76">
        <w:rPr>
          <w:rFonts w:ascii="Helvetica" w:hAnsi="Helvetica" w:cs="Helvetica"/>
          <w:sz w:val="20"/>
          <w:lang w:val="en-US"/>
        </w:rPr>
        <w:t>[1]</w:t>
      </w:r>
      <w:r w:rsidR="00A242D0">
        <w:rPr>
          <w:rFonts w:ascii="Helvetica" w:hAnsi="Helvetica"/>
          <w:bCs/>
          <w:sz w:val="20"/>
          <w:szCs w:val="20"/>
          <w:lang w:val="en-GB"/>
        </w:rPr>
        <w:fldChar w:fldCharType="end"/>
      </w:r>
      <w:r w:rsidRPr="00532C90">
        <w:rPr>
          <w:rFonts w:ascii="Helvetica" w:hAnsi="Helvetica"/>
          <w:bCs/>
          <w:sz w:val="20"/>
          <w:szCs w:val="20"/>
          <w:lang w:val="en-GB"/>
        </w:rPr>
        <w:t>, followed by</w:t>
      </w:r>
      <w:r w:rsidR="00B647B6">
        <w:rPr>
          <w:rFonts w:ascii="Helvetica" w:hAnsi="Helvetica"/>
          <w:bCs/>
          <w:sz w:val="20"/>
          <w:szCs w:val="20"/>
          <w:lang w:val="en-GB"/>
        </w:rPr>
        <w:t xml:space="preserve"> </w:t>
      </w:r>
      <w:r w:rsidR="00B647B6" w:rsidRPr="00532C90">
        <w:rPr>
          <w:rFonts w:ascii="Helvetica" w:hAnsi="Helvetica"/>
          <w:bCs/>
          <w:sz w:val="20"/>
          <w:szCs w:val="20"/>
          <w:lang w:val="en-GB"/>
        </w:rPr>
        <w:t>multiple sequence alignment</w:t>
      </w:r>
      <w:r w:rsidRPr="00532C90">
        <w:rPr>
          <w:rFonts w:ascii="Helvetica" w:hAnsi="Helvetica"/>
          <w:bCs/>
          <w:sz w:val="20"/>
          <w:szCs w:val="20"/>
          <w:lang w:val="en-GB"/>
        </w:rPr>
        <w:t xml:space="preserve"> </w:t>
      </w:r>
      <w:r w:rsidR="00B647B6">
        <w:rPr>
          <w:rFonts w:ascii="Helvetica" w:hAnsi="Helvetica"/>
          <w:bCs/>
          <w:sz w:val="20"/>
          <w:szCs w:val="20"/>
          <w:lang w:val="en-GB"/>
        </w:rPr>
        <w:t>(</w:t>
      </w:r>
      <w:r w:rsidRPr="00532C90">
        <w:rPr>
          <w:rFonts w:ascii="Helvetica" w:hAnsi="Helvetica"/>
          <w:bCs/>
          <w:sz w:val="20"/>
          <w:szCs w:val="20"/>
          <w:lang w:val="en-GB"/>
        </w:rPr>
        <w:t>MSA</w:t>
      </w:r>
      <w:r w:rsidR="00B647B6">
        <w:rPr>
          <w:rFonts w:ascii="Helvetica" w:hAnsi="Helvetica"/>
          <w:bCs/>
          <w:sz w:val="20"/>
          <w:szCs w:val="20"/>
          <w:lang w:val="en-GB"/>
        </w:rPr>
        <w:t>)</w:t>
      </w:r>
      <w:r w:rsidRPr="00532C90">
        <w:rPr>
          <w:rFonts w:ascii="Helvetica" w:hAnsi="Helvetica"/>
          <w:bCs/>
          <w:sz w:val="20"/>
          <w:szCs w:val="20"/>
          <w:lang w:val="en-GB"/>
        </w:rPr>
        <w:t xml:space="preserve"> analysis. CD-HIT-EST v4.8.1 and MAFFT v7.505 were installed through Bioconda in Python and used for sequence clustering and </w:t>
      </w:r>
      <w:r w:rsidR="005E019E" w:rsidRPr="00532C90">
        <w:rPr>
          <w:rFonts w:ascii="Helvetica" w:hAnsi="Helvetica"/>
          <w:bCs/>
          <w:sz w:val="20"/>
          <w:szCs w:val="20"/>
          <w:lang w:val="en-GB"/>
        </w:rPr>
        <w:t>MSA</w:t>
      </w:r>
      <w:r w:rsidRPr="00532C90">
        <w:rPr>
          <w:rFonts w:ascii="Helvetica" w:hAnsi="Helvetica"/>
          <w:bCs/>
          <w:sz w:val="20"/>
          <w:szCs w:val="20"/>
          <w:lang w:val="en-GB"/>
        </w:rPr>
        <w:t xml:space="preserve">, respectively. Complete DENV genome sequences were first clustered separately for each serotype using CD-HIT-EST at a 95% sequence identity threshold. The representative sequences retained by CD-HIT-EST were used for the downstream MSA analysis, reducing the contribution of overrepresented groups of highly similar genomes. </w:t>
      </w:r>
      <w:r w:rsidR="00B36EE5" w:rsidRPr="00B36EE5">
        <w:rPr>
          <w:rFonts w:ascii="Helvetica" w:hAnsi="Helvetica"/>
          <w:bCs/>
          <w:sz w:val="20"/>
          <w:szCs w:val="20"/>
          <w:lang w:val="en-GB"/>
        </w:rPr>
        <w:t xml:space="preserve">The CD-HIT-EST clustering output was also used independently to define the </w:t>
      </w:r>
      <w:r w:rsidR="00384449" w:rsidRPr="00384449">
        <w:rPr>
          <w:rFonts w:ascii="Helvetica" w:hAnsi="Helvetica"/>
          <w:bCs/>
          <w:sz w:val="20"/>
          <w:szCs w:val="20"/>
          <w:lang w:val="en-GB"/>
        </w:rPr>
        <w:t>CD-HIT cluster-aware</w:t>
      </w:r>
      <w:r w:rsidR="00B36EE5" w:rsidRPr="00B36EE5">
        <w:rPr>
          <w:rFonts w:ascii="Helvetica" w:hAnsi="Helvetica"/>
          <w:bCs/>
          <w:sz w:val="20"/>
          <w:szCs w:val="20"/>
          <w:lang w:val="en-GB"/>
        </w:rPr>
        <w:t xml:space="preserve"> validation strategy.</w:t>
      </w:r>
    </w:p>
    <w:p w14:paraId="01BB15A9" w14:textId="014FA7E5" w:rsidR="00392C14" w:rsidRDefault="00532C90" w:rsidP="00B04677">
      <w:pPr>
        <w:spacing w:after="120" w:line="480" w:lineRule="auto"/>
        <w:jc w:val="both"/>
        <w:rPr>
          <w:rFonts w:ascii="Helvetica" w:hAnsi="Helvetica"/>
          <w:bCs/>
          <w:sz w:val="20"/>
          <w:szCs w:val="20"/>
          <w:lang w:val="en-GB"/>
        </w:rPr>
      </w:pPr>
      <w:r w:rsidRPr="00532C90">
        <w:rPr>
          <w:rFonts w:ascii="Helvetica" w:hAnsi="Helvetica"/>
          <w:bCs/>
          <w:sz w:val="20"/>
          <w:szCs w:val="20"/>
          <w:lang w:val="en-GB"/>
        </w:rPr>
        <w:t>For the MSA-based variability analysis, each CD-HIT-EST representative genome was mapped to the corresponding serotype-specific RefSeq genome. This mapping was used to extract annotated DENV genomic regions, including untranslated regions and structural and non-structural protein-coding regions. Region-specific FASTA files were then generated and aligned at the nucleotide level using MAFFT</w:t>
      </w:r>
      <w:r w:rsidR="00272ADD">
        <w:rPr>
          <w:rFonts w:ascii="Helvetica" w:hAnsi="Helvetica"/>
          <w:bCs/>
          <w:sz w:val="20"/>
          <w:szCs w:val="20"/>
          <w:lang w:val="en-GB"/>
        </w:rPr>
        <w:t xml:space="preserve"> </w:t>
      </w:r>
      <w:r w:rsidR="00E530CD">
        <w:rPr>
          <w:rFonts w:ascii="Helvetica" w:hAnsi="Helvetica"/>
          <w:bCs/>
          <w:sz w:val="20"/>
          <w:szCs w:val="20"/>
          <w:lang w:val="en-GB"/>
        </w:rPr>
        <w:fldChar w:fldCharType="begin"/>
      </w:r>
      <w:r w:rsidR="00AB3A76">
        <w:rPr>
          <w:rFonts w:ascii="Helvetica" w:hAnsi="Helvetica"/>
          <w:bCs/>
          <w:sz w:val="20"/>
          <w:szCs w:val="20"/>
          <w:lang w:val="en-GB"/>
        </w:rPr>
        <w:instrText xml:space="preserve"> ADDIN ZOTERO_ITEM CSL_CITATION {"citationID":"qlJAOX3k","properties":{"unsorted":false,"formattedCitation":"[2]","plainCitation":"[2]","noteIndex":0},"citationItems":[{"id":"HaI2VY0N/SpTAM6fm","uris":["http://zotero.org/users/16884032/items/3QHW3WD9"],"itemData":{"id":707,"type":"article-journal","abstract":"We report a major update of the MAFFT multiple sequence alignment program. This version has several new features, including options for adding unaligned sequences into an existing alignment, adjustment of direction in nucleotide alignment, constrained alignment and parallel processing, which were implemented after the previous major update. This report shows actual examples to explain how these features work, alone and in combination. Some examples incorrectly aligned by MAFFT are also shown to clarify its limitations. We discuss how to avoid misalignments, and our ongoing efforts to overcome such limitations.","container-title":"Molecular Biology and Evolution","DOI":"10.1093/molbev/mst010","ISSN":"0737-4038, 1537-1719","issue":"4","journalAbbreviation":"Molecular Biology and Evolution","language":"en","page":"772-780","source":"DOI.org (Crossref)","title":"MAFFT Multiple Sequence Alignment Software Version 7: Improvements in Performance and Usability","title-short":"MAFFT Multiple Sequence Alignment Software Version 7","volume":"30","author":[{"family":"Katoh","given":"K."},{"family":"Standley","given":"D. M."}],"issued":{"date-parts":[["2013",4,1]]}}}],"schema":"https://github.com/citation-style-language/schema/raw/master/csl-citation.json"} </w:instrText>
      </w:r>
      <w:r w:rsidR="00E530CD">
        <w:rPr>
          <w:rFonts w:ascii="Helvetica" w:hAnsi="Helvetica"/>
          <w:bCs/>
          <w:sz w:val="20"/>
          <w:szCs w:val="20"/>
          <w:lang w:val="en-GB"/>
        </w:rPr>
        <w:fldChar w:fldCharType="separate"/>
      </w:r>
      <w:r w:rsidR="00AB3A76" w:rsidRPr="00AB3A76">
        <w:rPr>
          <w:rFonts w:ascii="Helvetica" w:hAnsi="Helvetica" w:cs="Helvetica"/>
          <w:sz w:val="20"/>
          <w:lang w:val="en-US"/>
        </w:rPr>
        <w:t>[2]</w:t>
      </w:r>
      <w:r w:rsidR="00E530CD">
        <w:rPr>
          <w:rFonts w:ascii="Helvetica" w:hAnsi="Helvetica"/>
          <w:bCs/>
          <w:sz w:val="20"/>
          <w:szCs w:val="20"/>
          <w:lang w:val="en-GB"/>
        </w:rPr>
        <w:fldChar w:fldCharType="end"/>
      </w:r>
      <w:r w:rsidRPr="00532C90">
        <w:rPr>
          <w:rFonts w:ascii="Helvetica" w:hAnsi="Helvetica"/>
          <w:bCs/>
          <w:sz w:val="20"/>
          <w:szCs w:val="20"/>
          <w:lang w:val="en-GB"/>
        </w:rPr>
        <w:t>. Variability metrics were therefore computed from region-specific MSAs derived from CD-HIT-EST representative genomes.</w:t>
      </w:r>
    </w:p>
    <w:p w14:paraId="5BD1D9B0" w14:textId="2318FA23" w:rsidR="005B3365" w:rsidRDefault="00532C90" w:rsidP="00B04677">
      <w:pPr>
        <w:spacing w:after="120" w:line="480" w:lineRule="auto"/>
        <w:jc w:val="both"/>
        <w:rPr>
          <w:rFonts w:ascii="Helvetica" w:hAnsi="Helvetica"/>
          <w:bCs/>
          <w:sz w:val="20"/>
          <w:szCs w:val="20"/>
          <w:lang w:val="en-GB"/>
        </w:rPr>
      </w:pPr>
      <w:r w:rsidRPr="00532C90">
        <w:rPr>
          <w:rFonts w:ascii="Helvetica" w:hAnsi="Helvetica"/>
          <w:bCs/>
          <w:sz w:val="20"/>
          <w:szCs w:val="20"/>
          <w:lang w:val="en-GB"/>
        </w:rPr>
        <w:t>The resulting region-level summaries were used to compare two complementary measures across DENV genomic regions and serotypes: within-serotype variability, quantified by normalized Shannon entropy</w:t>
      </w:r>
      <w:r w:rsidR="004D2B39">
        <w:rPr>
          <w:rFonts w:ascii="Helvetica" w:hAnsi="Helvetica"/>
          <w:bCs/>
          <w:sz w:val="20"/>
          <w:szCs w:val="20"/>
          <w:lang w:val="en-GB"/>
        </w:rPr>
        <w:t xml:space="preserve"> </w:t>
      </w:r>
      <w:r w:rsidR="004D2B39">
        <w:rPr>
          <w:rFonts w:ascii="Helvetica" w:hAnsi="Helvetica"/>
          <w:bCs/>
          <w:sz w:val="20"/>
          <w:szCs w:val="20"/>
          <w:lang w:val="en-GB"/>
        </w:rPr>
        <w:fldChar w:fldCharType="begin"/>
      </w:r>
      <w:r w:rsidR="00AB3A76">
        <w:rPr>
          <w:rFonts w:ascii="Helvetica" w:hAnsi="Helvetica"/>
          <w:bCs/>
          <w:sz w:val="20"/>
          <w:szCs w:val="20"/>
          <w:lang w:val="en-GB"/>
        </w:rPr>
        <w:instrText xml:space="preserve"> ADDIN ZOTERO_ITEM CSL_CITATION {"citationID":"wZze6CBC","properties":{"unsorted":false,"formattedCitation":"[3]","plainCitation":"[3]","noteIndex":0},"citationItems":[{"id":"HaI2VY0N/REu6QvR6","uris":["http://zotero.org/users/16884032/items/DW6UMUHX"],"itemData":{"id":763,"type":"article-journal","abstract":"Sequence diversity is one of the major challenges in the design of diagnostic, prophylactic, and therapeutic interventions against viruses. DiMA is a novel tool that is big data-ready and designed to facilitate the dissection of sequence diversity dynamics for viruses. DiMA stands out from other diversity analysis tools by offering various unique features. DiMA provides a quantitative overview of sequence (DNA/RNA/protein) diversity by use of Shannon’s entropy corrected for size bias, applied via a user-defined k-mer sliding window to an input alignment file, and each k-mer position is dissected to various diversity motifs. The motifs are defined based on the probability of distinct sequences at a given k-mer alignment position, whereby an index is the predominant sequence, while all the others are (total) variants to the index. The total variants are sub-classified into the major (most common) variant, minor variants (occurring more than once and of incidence lower than the major), and the unique (singleton) variants. DiMA allows user-defined, sequence metadata enrichment for analyses of the motifs. The application of DiMA was demonstrated for the alignment data of the relatively conserved Spike protein (2,106,985 sequences) of the severe acute respiratory syndrome coronavirus 2 (SARS-CoV-2) and the relatively highly diverse pol gene (2637) of the human immunodeficiency virus-1 (HIV-1). The tool is publicly available as a web server (https:// dima.bezmialem.edu.tr), as a Python library (via PyPi) and as a command line client (via GitHub).","container-title":"Briefings in Bioinformatics","DOI":"10.1093/bib/bbae607","ISSN":"1467-5463, 1477-4054","issue":"1","language":"en","license":"https://creativecommons.org/licenses/by-nc/4.0/","page":"bbae607","source":"DOI.org (Crossref)","title":"DiMA: sequence diversity dynamics analyser for viruses","title-short":"DiMA","volume":"26","author":[{"family":"Tharanga","given":"Shan"},{"family":"Ünlü","given":"Eyyüb Selim"},{"family":"Hu","given":"Yongli"},{"family":"Sjaugi","given":"Muhammad Farhan"},{"family":"Çelik","given":"Muhammet A"},{"family":"Hekimoğlu","given":"Hilal"},{"family":"Miotto","given":"Olivo"},{"family":"Öncel","given":"Muhammed Miran"},{"family":"Khan","given":"Asif M"}],"issued":{"date-parts":[["2024",11,22]]}}}],"schema":"https://github.com/citation-style-language/schema/raw/master/csl-citation.json"} </w:instrText>
      </w:r>
      <w:r w:rsidR="004D2B39">
        <w:rPr>
          <w:rFonts w:ascii="Helvetica" w:hAnsi="Helvetica"/>
          <w:bCs/>
          <w:sz w:val="20"/>
          <w:szCs w:val="20"/>
          <w:lang w:val="en-GB"/>
        </w:rPr>
        <w:fldChar w:fldCharType="separate"/>
      </w:r>
      <w:r w:rsidR="00AB3A76" w:rsidRPr="00AB3A76">
        <w:rPr>
          <w:rFonts w:ascii="Helvetica" w:hAnsi="Helvetica" w:cs="Helvetica"/>
          <w:sz w:val="20"/>
          <w:lang w:val="en-US"/>
        </w:rPr>
        <w:t>[3]</w:t>
      </w:r>
      <w:r w:rsidR="004D2B39">
        <w:rPr>
          <w:rFonts w:ascii="Helvetica" w:hAnsi="Helvetica"/>
          <w:bCs/>
          <w:sz w:val="20"/>
          <w:szCs w:val="20"/>
          <w:lang w:val="en-GB"/>
        </w:rPr>
        <w:fldChar w:fldCharType="end"/>
      </w:r>
      <w:r w:rsidRPr="00532C90">
        <w:rPr>
          <w:rFonts w:ascii="Helvetica" w:hAnsi="Helvetica"/>
          <w:bCs/>
          <w:sz w:val="20"/>
          <w:szCs w:val="20"/>
          <w:lang w:val="en-GB"/>
        </w:rPr>
        <w:t>, and serotype-vs-others divergence, quantified by Jensen–Shannon divergence (JSD).</w:t>
      </w:r>
      <w:r w:rsidR="00B647B6">
        <w:rPr>
          <w:rFonts w:ascii="Helvetica" w:hAnsi="Helvetica"/>
          <w:bCs/>
          <w:sz w:val="20"/>
          <w:szCs w:val="20"/>
          <w:lang w:val="en-GB"/>
        </w:rPr>
        <w:t xml:space="preserve"> </w:t>
      </w:r>
      <w:r w:rsidR="00F80F45" w:rsidRPr="00F80F45">
        <w:rPr>
          <w:rFonts w:ascii="Helvetica" w:hAnsi="Helvetica"/>
          <w:bCs/>
          <w:sz w:val="20"/>
          <w:szCs w:val="20"/>
          <w:lang w:val="en-GB"/>
        </w:rPr>
        <w:t>At each aligned nucleotide position, entropy was computed from the nucleotide frequency distribution within that serotype and normalized to the interval from 0 to 1, with higher values indicating greater intra-serotype nucleotide variability.</w:t>
      </w:r>
    </w:p>
    <w:p w14:paraId="07423F3A" w14:textId="77777777" w:rsidR="00C52DB0" w:rsidRDefault="00F80F45" w:rsidP="00B04677">
      <w:pPr>
        <w:spacing w:after="120" w:line="480" w:lineRule="auto"/>
        <w:jc w:val="both"/>
        <w:rPr>
          <w:rFonts w:ascii="Helvetica" w:hAnsi="Helvetica"/>
          <w:bCs/>
          <w:sz w:val="20"/>
          <w:szCs w:val="20"/>
          <w:lang w:val="en-GB"/>
        </w:rPr>
      </w:pPr>
      <w:r w:rsidRPr="00F80F45">
        <w:rPr>
          <w:rFonts w:ascii="Helvetica" w:hAnsi="Helvetica"/>
          <w:bCs/>
          <w:sz w:val="20"/>
          <w:szCs w:val="20"/>
          <w:lang w:val="en-GB"/>
        </w:rPr>
        <w:t>Region-level values were obtained by averaging normalized entropy across aligned positions within each region-specific MSA.</w:t>
      </w:r>
      <w:r w:rsidR="00C817E4">
        <w:rPr>
          <w:rFonts w:ascii="Helvetica" w:hAnsi="Helvetica"/>
          <w:bCs/>
          <w:sz w:val="20"/>
          <w:szCs w:val="20"/>
          <w:lang w:val="en-GB"/>
        </w:rPr>
        <w:t xml:space="preserve"> </w:t>
      </w:r>
      <w:r w:rsidRPr="00F80F45">
        <w:rPr>
          <w:rFonts w:ascii="Helvetica" w:hAnsi="Helvetica"/>
          <w:bCs/>
          <w:sz w:val="20"/>
          <w:szCs w:val="20"/>
          <w:lang w:val="en-GB"/>
        </w:rPr>
        <w:t>To quantify serotype-specific divergence, JSD was computed between nucleotide distributions for all pairwise serotype comparisons at each aligned position within each region-specific MSA.</w:t>
      </w:r>
    </w:p>
    <w:p w14:paraId="014195DA" w14:textId="02F83628" w:rsidR="00430140" w:rsidRDefault="00F80F45" w:rsidP="00B04677">
      <w:pPr>
        <w:spacing w:after="120" w:line="480" w:lineRule="auto"/>
        <w:jc w:val="both"/>
        <w:rPr>
          <w:rFonts w:ascii="Helvetica" w:hAnsi="Helvetica"/>
          <w:bCs/>
          <w:sz w:val="20"/>
          <w:szCs w:val="20"/>
          <w:lang w:val="en-GB"/>
        </w:rPr>
      </w:pPr>
      <w:r w:rsidRPr="00F80F45">
        <w:rPr>
          <w:rFonts w:ascii="Helvetica" w:hAnsi="Helvetica"/>
          <w:bCs/>
          <w:sz w:val="20"/>
          <w:szCs w:val="20"/>
          <w:lang w:val="en-GB"/>
        </w:rPr>
        <w:t>Pairwise JSD values were then averaged across aligned positions within each genomic region. For the serotype-vs-others summary, each serotype-specific value was obtained by averaging the pairwise JSD values between that serotype and each of the other three serotypes. Higher values therefore indicate regions where nucleotide distributions show stronger serotype-specific separation.</w:t>
      </w:r>
    </w:p>
    <w:p w14:paraId="26AC2A60" w14:textId="65D4783D" w:rsidR="00301F45" w:rsidRPr="00301F45" w:rsidRDefault="00301F45" w:rsidP="00B04677">
      <w:pPr>
        <w:spacing w:after="120" w:line="480" w:lineRule="auto"/>
        <w:jc w:val="both"/>
        <w:rPr>
          <w:rFonts w:ascii="Helvetica" w:hAnsi="Helvetica"/>
          <w:bCs/>
          <w:sz w:val="20"/>
          <w:szCs w:val="20"/>
          <w:lang w:val="en-US"/>
        </w:rPr>
      </w:pPr>
      <w:r w:rsidRPr="00301F45">
        <w:rPr>
          <w:rFonts w:ascii="Helvetica" w:hAnsi="Helvetica"/>
          <w:bCs/>
          <w:sz w:val="20"/>
          <w:szCs w:val="20"/>
          <w:lang w:val="en-US"/>
        </w:rPr>
        <w:t>Across the four serotypes, the 29,091 genomes formed 2,392 serotype-specific CD-HIT clusters. Representative-sequence reduction was used only for the MSA analysis, whereas all 29,091 genomes were retained in the classification and validation analyses.</w:t>
      </w:r>
    </w:p>
    <w:p w14:paraId="08B26E8C" w14:textId="3ADEFF00" w:rsidR="004B2646" w:rsidRPr="000E2630" w:rsidRDefault="004B2646" w:rsidP="0083613B">
      <w:pPr>
        <w:spacing w:after="120" w:line="480" w:lineRule="auto"/>
        <w:jc w:val="both"/>
        <w:rPr>
          <w:rFonts w:ascii="Helvetica" w:hAnsi="Helvetica" w:cs="Helvetica"/>
          <w:i/>
          <w:iCs/>
          <w:sz w:val="20"/>
          <w:szCs w:val="20"/>
          <w:u w:val="single"/>
          <w:lang w:val="en-US" w:eastAsia="en-US"/>
        </w:rPr>
      </w:pPr>
      <w:r w:rsidRPr="000E2630">
        <w:rPr>
          <w:rFonts w:ascii="Helvetica" w:hAnsi="Helvetica" w:cs="Helvetica"/>
          <w:i/>
          <w:iCs/>
          <w:sz w:val="20"/>
          <w:szCs w:val="20"/>
          <w:u w:val="single"/>
          <w:lang w:val="en-US" w:eastAsia="en-US"/>
        </w:rPr>
        <w:t>Implementation details for reproducibility</w:t>
      </w:r>
    </w:p>
    <w:p w14:paraId="419A7D39" w14:textId="1FF61DB7" w:rsidR="000E2630" w:rsidRPr="004219C2" w:rsidRDefault="000E2630" w:rsidP="000E2630">
      <w:pPr>
        <w:spacing w:after="120" w:line="480" w:lineRule="auto"/>
        <w:jc w:val="both"/>
        <w:rPr>
          <w:rFonts w:ascii="Helvetica" w:hAnsi="Helvetica"/>
          <w:bCs/>
          <w:sz w:val="20"/>
          <w:szCs w:val="20"/>
          <w:lang w:val="en-US"/>
        </w:rPr>
      </w:pPr>
      <w:r w:rsidRPr="004219C2">
        <w:rPr>
          <w:rFonts w:ascii="Helvetica" w:hAnsi="Helvetica"/>
          <w:bCs/>
          <w:sz w:val="20"/>
          <w:szCs w:val="20"/>
          <w:lang w:val="en-US"/>
        </w:rPr>
        <w:t>CD-HIT-EST was run separately for each serotype using the following command-line parameters:</w:t>
      </w:r>
    </w:p>
    <w:p w14:paraId="5EC2C800" w14:textId="77777777" w:rsidR="000E2630" w:rsidRPr="004219C2" w:rsidRDefault="000E2630" w:rsidP="000E2630">
      <w:pPr>
        <w:spacing w:after="120" w:line="480" w:lineRule="auto"/>
        <w:jc w:val="both"/>
        <w:rPr>
          <w:rFonts w:ascii="Courier New" w:hAnsi="Courier New" w:cs="Courier New"/>
          <w:bCs/>
          <w:sz w:val="20"/>
          <w:szCs w:val="20"/>
          <w:lang w:val="en-US"/>
        </w:rPr>
      </w:pPr>
      <w:r w:rsidRPr="004219C2">
        <w:rPr>
          <w:rFonts w:ascii="Courier New" w:hAnsi="Courier New" w:cs="Courier New"/>
          <w:bCs/>
          <w:sz w:val="20"/>
          <w:szCs w:val="20"/>
          <w:lang w:val="en-US"/>
        </w:rPr>
        <w:t>cd-hit-est -</w:t>
      </w:r>
      <w:proofErr w:type="spellStart"/>
      <w:r w:rsidRPr="004219C2">
        <w:rPr>
          <w:rFonts w:ascii="Courier New" w:hAnsi="Courier New" w:cs="Courier New"/>
          <w:bCs/>
          <w:sz w:val="20"/>
          <w:szCs w:val="20"/>
          <w:lang w:val="en-US"/>
        </w:rPr>
        <w:t>i</w:t>
      </w:r>
      <w:proofErr w:type="spellEnd"/>
      <w:r w:rsidRPr="004219C2">
        <w:rPr>
          <w:rFonts w:ascii="Courier New" w:hAnsi="Courier New" w:cs="Courier New"/>
          <w:bCs/>
          <w:sz w:val="20"/>
          <w:szCs w:val="20"/>
          <w:lang w:val="en-US"/>
        </w:rPr>
        <w:t xml:space="preserve"> &lt;</w:t>
      </w:r>
      <w:proofErr w:type="spellStart"/>
      <w:r w:rsidRPr="004219C2">
        <w:rPr>
          <w:rFonts w:ascii="Courier New" w:hAnsi="Courier New" w:cs="Courier New"/>
          <w:bCs/>
          <w:sz w:val="20"/>
          <w:szCs w:val="20"/>
          <w:lang w:val="en-US"/>
        </w:rPr>
        <w:t>input_fasta</w:t>
      </w:r>
      <w:proofErr w:type="spellEnd"/>
      <w:r w:rsidRPr="004219C2">
        <w:rPr>
          <w:rFonts w:ascii="Courier New" w:hAnsi="Courier New" w:cs="Courier New"/>
          <w:bCs/>
          <w:sz w:val="20"/>
          <w:szCs w:val="20"/>
          <w:lang w:val="en-US"/>
        </w:rPr>
        <w:t>&gt; -o &lt;</w:t>
      </w:r>
      <w:proofErr w:type="spellStart"/>
      <w:r w:rsidRPr="004219C2">
        <w:rPr>
          <w:rFonts w:ascii="Courier New" w:hAnsi="Courier New" w:cs="Courier New"/>
          <w:bCs/>
          <w:sz w:val="20"/>
          <w:szCs w:val="20"/>
          <w:lang w:val="en-US"/>
        </w:rPr>
        <w:t>output_fasta</w:t>
      </w:r>
      <w:proofErr w:type="spellEnd"/>
      <w:r w:rsidRPr="004219C2">
        <w:rPr>
          <w:rFonts w:ascii="Courier New" w:hAnsi="Courier New" w:cs="Courier New"/>
          <w:bCs/>
          <w:sz w:val="20"/>
          <w:szCs w:val="20"/>
          <w:lang w:val="en-US"/>
        </w:rPr>
        <w:t>&gt; -c 0.95 -n 9 -T 4 -M 16000 -d 0</w:t>
      </w:r>
    </w:p>
    <w:p w14:paraId="717F8F19" w14:textId="77777777" w:rsidR="000E2630" w:rsidRPr="004219C2" w:rsidRDefault="000E2630" w:rsidP="000E2630">
      <w:pPr>
        <w:spacing w:after="120" w:line="480" w:lineRule="auto"/>
        <w:jc w:val="both"/>
        <w:rPr>
          <w:rFonts w:ascii="Helvetica" w:hAnsi="Helvetica"/>
          <w:bCs/>
          <w:sz w:val="20"/>
          <w:szCs w:val="20"/>
          <w:lang w:val="en-US"/>
        </w:rPr>
      </w:pPr>
      <w:r w:rsidRPr="004219C2">
        <w:rPr>
          <w:rFonts w:ascii="Helvetica" w:hAnsi="Helvetica"/>
          <w:bCs/>
          <w:sz w:val="20"/>
          <w:szCs w:val="20"/>
          <w:lang w:val="en-US"/>
        </w:rPr>
        <w:t>The resulting clusters were grouped by serotype and sorted in descending order of cluster size. Each cluster was then assigned in its entirety to the fold containing the smallest current number of genomes from the same serotype. Ties were resolved according to fold order. This deterministic greedy procedure produced five outer folds while preventing members of the same CD-HIT cluster from being divided between outer training and test subsets.</w:t>
      </w:r>
    </w:p>
    <w:p w14:paraId="069EABA0" w14:textId="4A1CA151" w:rsidR="00A9209B" w:rsidRPr="00A9209B" w:rsidRDefault="00984FDC" w:rsidP="0083613B">
      <w:pPr>
        <w:spacing w:after="120" w:line="480" w:lineRule="auto"/>
        <w:jc w:val="both"/>
        <w:rPr>
          <w:rFonts w:ascii="Helvetica" w:hAnsi="Helvetica"/>
          <w:bCs/>
          <w:sz w:val="20"/>
          <w:szCs w:val="20"/>
          <w:lang w:val="en-US"/>
        </w:rPr>
      </w:pPr>
      <w:r w:rsidRPr="00984FDC">
        <w:rPr>
          <w:rFonts w:ascii="Helvetica" w:hAnsi="Helvetica"/>
          <w:bCs/>
          <w:sz w:val="20"/>
          <w:szCs w:val="20"/>
          <w:lang w:val="en-US"/>
        </w:rPr>
        <w:t>For CD-HIT cluster-aware validation, the internal validation split was performed at sequence level and used only for checkpoint selection, whereas CD-HIT cluster integrity was enforced for the outer training–test separation. Encoded inputs followed the preprocessing described in the main manuscript; no separate padding or ambiguity mask was applied</w:t>
      </w:r>
      <w:r w:rsidR="00A9209B">
        <w:rPr>
          <w:rFonts w:ascii="Helvetica" w:hAnsi="Helvetica"/>
          <w:bCs/>
          <w:sz w:val="20"/>
          <w:szCs w:val="20"/>
          <w:lang w:val="en-US"/>
        </w:rPr>
        <w:t>.</w:t>
      </w:r>
    </w:p>
    <w:p w14:paraId="421785FC" w14:textId="3339C4B7" w:rsidR="000B363A" w:rsidRDefault="000B363A" w:rsidP="000B363A">
      <w:pPr>
        <w:spacing w:after="120" w:line="480" w:lineRule="auto"/>
        <w:jc w:val="both"/>
        <w:rPr>
          <w:rFonts w:ascii="Helvetica" w:hAnsi="Helvetica" w:cs="Helvetica"/>
          <w:sz w:val="20"/>
          <w:szCs w:val="20"/>
          <w:lang w:val="en-US" w:eastAsia="en-US"/>
        </w:rPr>
      </w:pPr>
      <w:r w:rsidRPr="000B363A">
        <w:rPr>
          <w:rFonts w:ascii="Helvetica" w:hAnsi="Helvetica" w:cs="Helvetica"/>
          <w:sz w:val="20"/>
          <w:szCs w:val="20"/>
          <w:lang w:val="en-US" w:eastAsia="en-US"/>
        </w:rPr>
        <w:t xml:space="preserve">Class imbalance was handled only in the training loader using </w:t>
      </w:r>
      <w:proofErr w:type="spellStart"/>
      <w:r w:rsidRPr="000B363A">
        <w:rPr>
          <w:rFonts w:ascii="Helvetica" w:hAnsi="Helvetica" w:cs="Helvetica"/>
          <w:sz w:val="20"/>
          <w:szCs w:val="20"/>
          <w:lang w:val="en-US" w:eastAsia="en-US"/>
        </w:rPr>
        <w:t>PyTorch</w:t>
      </w:r>
      <w:proofErr w:type="spellEnd"/>
      <w:r w:rsidRPr="000B363A">
        <w:rPr>
          <w:rFonts w:ascii="Helvetica" w:hAnsi="Helvetica" w:cs="Helvetica"/>
          <w:sz w:val="20"/>
          <w:szCs w:val="20"/>
          <w:lang w:val="en-US" w:eastAsia="en-US"/>
        </w:rPr>
        <w:t xml:space="preserve"> </w:t>
      </w:r>
      <w:proofErr w:type="spellStart"/>
      <w:r w:rsidRPr="00030B41">
        <w:rPr>
          <w:rFonts w:ascii="Courier New" w:hAnsi="Courier New" w:cs="Courier New"/>
          <w:sz w:val="20"/>
          <w:szCs w:val="20"/>
          <w:lang w:val="en-US" w:eastAsia="en-US"/>
        </w:rPr>
        <w:t>WeightedRandomSampler</w:t>
      </w:r>
      <w:proofErr w:type="spellEnd"/>
      <w:r w:rsidRPr="000B363A">
        <w:rPr>
          <w:rFonts w:ascii="Helvetica" w:hAnsi="Helvetica" w:cs="Helvetica"/>
          <w:sz w:val="20"/>
          <w:szCs w:val="20"/>
          <w:lang w:val="en-US" w:eastAsia="en-US"/>
        </w:rPr>
        <w:t xml:space="preserve">. Class-specific sampling weights were calculated independently within the training subset of each partition. For a class </w:t>
      </w:r>
      <m:oMath>
        <m:r>
          <w:rPr>
            <w:rFonts w:ascii="Cambria Math" w:hAnsi="Cambria Math" w:cs="Helvetica"/>
            <w:sz w:val="20"/>
            <w:szCs w:val="20"/>
            <w:lang w:val="en-US" w:eastAsia="en-US"/>
          </w:rPr>
          <m:t>c</m:t>
        </m:r>
      </m:oMath>
      <w:r w:rsidR="00BE7E6A">
        <w:rPr>
          <w:rFonts w:ascii="Helvetica" w:hAnsi="Helvetica" w:cs="Helvetica"/>
          <w:sz w:val="20"/>
          <w:szCs w:val="20"/>
          <w:lang w:val="en-US" w:eastAsia="en-US"/>
        </w:rPr>
        <w:t xml:space="preserve"> </w:t>
      </w:r>
      <w:r w:rsidRPr="000B363A">
        <w:rPr>
          <w:rFonts w:ascii="Helvetica" w:hAnsi="Helvetica" w:cs="Helvetica"/>
          <w:sz w:val="20"/>
          <w:szCs w:val="20"/>
          <w:lang w:val="en-US" w:eastAsia="en-US"/>
        </w:rPr>
        <w:t>containing</w:t>
      </w:r>
      <w:r w:rsidR="00BE7E6A">
        <w:rPr>
          <w:rFonts w:ascii="Helvetica" w:hAnsi="Helvetica" w:cs="Helvetica"/>
          <w:sz w:val="20"/>
          <w:szCs w:val="20"/>
          <w:lang w:val="en-US" w:eastAsia="en-US"/>
        </w:rPr>
        <w:t xml:space="preserve"> </w:t>
      </w:r>
      <m:oMath>
        <m:sSub>
          <m:sSubPr>
            <m:ctrlPr>
              <w:rPr>
                <w:rFonts w:ascii="Cambria Math" w:hAnsi="Cambria Math" w:cs="Helvetica"/>
                <w:i/>
                <w:sz w:val="20"/>
                <w:szCs w:val="20"/>
                <w:lang w:val="en-US" w:eastAsia="en-US"/>
              </w:rPr>
            </m:ctrlPr>
          </m:sSubPr>
          <m:e>
            <m:r>
              <w:rPr>
                <w:rFonts w:ascii="Cambria Math" w:hAnsi="Cambria Math" w:cs="Helvetica"/>
                <w:sz w:val="20"/>
                <w:szCs w:val="20"/>
                <w:lang w:val="en-US" w:eastAsia="en-US"/>
              </w:rPr>
              <m:t>n</m:t>
            </m:r>
          </m:e>
          <m:sub>
            <m:r>
              <w:rPr>
                <w:rFonts w:ascii="Cambria Math" w:hAnsi="Cambria Math" w:cs="Helvetica"/>
                <w:sz w:val="20"/>
                <w:szCs w:val="20"/>
                <w:lang w:val="en-US" w:eastAsia="en-US"/>
              </w:rPr>
              <m:t>c</m:t>
            </m:r>
          </m:sub>
        </m:sSub>
      </m:oMath>
      <w:r w:rsidRPr="000B363A">
        <w:rPr>
          <w:rFonts w:ascii="Helvetica" w:hAnsi="Helvetica" w:cs="Helvetica"/>
          <w:sz w:val="20"/>
          <w:szCs w:val="20"/>
          <w:lang w:val="en-US" w:eastAsia="en-US"/>
        </w:rPr>
        <w:t xml:space="preserve"> genomes in a training subset of size</w:t>
      </w:r>
      <w:r w:rsidR="00BE7E6A">
        <w:rPr>
          <w:rFonts w:ascii="Helvetica" w:hAnsi="Helvetica" w:cs="Helvetica"/>
          <w:sz w:val="20"/>
          <w:szCs w:val="20"/>
          <w:lang w:val="en-US" w:eastAsia="en-US"/>
        </w:rPr>
        <w:t xml:space="preserve"> </w:t>
      </w:r>
      <m:oMath>
        <m:sSub>
          <m:sSubPr>
            <m:ctrlPr>
              <w:rPr>
                <w:rFonts w:ascii="Cambria Math" w:hAnsi="Cambria Math" w:cs="Helvetica"/>
                <w:i/>
                <w:sz w:val="20"/>
                <w:szCs w:val="20"/>
                <w:lang w:val="en-US" w:eastAsia="en-US"/>
              </w:rPr>
            </m:ctrlPr>
          </m:sSubPr>
          <m:e>
            <m:r>
              <w:rPr>
                <w:rFonts w:ascii="Cambria Math" w:hAnsi="Cambria Math" w:cs="Helvetica"/>
                <w:sz w:val="20"/>
                <w:szCs w:val="20"/>
                <w:lang w:val="en-US" w:eastAsia="en-US"/>
              </w:rPr>
              <m:t>N</m:t>
            </m:r>
          </m:e>
          <m:sub>
            <m:r>
              <w:rPr>
                <w:rFonts w:ascii="Cambria Math" w:hAnsi="Cambria Math" w:cs="Helvetica"/>
                <w:sz w:val="20"/>
                <w:szCs w:val="20"/>
                <w:lang w:val="en-US" w:eastAsia="en-US"/>
              </w:rPr>
              <m:t>train</m:t>
            </m:r>
          </m:sub>
        </m:sSub>
      </m:oMath>
      <w:r w:rsidRPr="000B363A">
        <w:rPr>
          <w:rFonts w:ascii="Helvetica" w:hAnsi="Helvetica" w:cs="Helvetica"/>
          <w:sz w:val="20"/>
          <w:szCs w:val="20"/>
          <w:lang w:val="en-US" w:eastAsia="en-US"/>
        </w:rPr>
        <w:t>, the sampling weight was defined as:</w:t>
      </w:r>
    </w:p>
    <w:p w14:paraId="637D770E" w14:textId="07458855" w:rsidR="000B363A" w:rsidRPr="000B363A" w:rsidRDefault="005A4ED5" w:rsidP="000B363A">
      <w:pPr>
        <w:spacing w:after="120" w:line="480" w:lineRule="auto"/>
        <w:jc w:val="both"/>
        <w:rPr>
          <w:rFonts w:ascii="Helvetica" w:hAnsi="Helvetica" w:cs="Helvetica"/>
          <w:sz w:val="20"/>
          <w:szCs w:val="20"/>
          <w:lang w:val="en-US" w:eastAsia="en-US"/>
        </w:rPr>
      </w:pPr>
      <m:oMathPara>
        <m:oMath>
          <m:sSub>
            <m:sSubPr>
              <m:ctrlPr>
                <w:rPr>
                  <w:rFonts w:ascii="Cambria Math" w:hAnsi="Cambria Math" w:cs="Helvetica"/>
                  <w:i/>
                  <w:sz w:val="20"/>
                  <w:szCs w:val="20"/>
                  <w:lang w:val="en-US" w:eastAsia="en-US"/>
                </w:rPr>
              </m:ctrlPr>
            </m:sSubPr>
            <m:e>
              <m:r>
                <w:rPr>
                  <w:rFonts w:ascii="Cambria Math" w:hAnsi="Cambria Math" w:cs="Helvetica"/>
                  <w:sz w:val="20"/>
                  <w:szCs w:val="20"/>
                  <w:lang w:val="en-US" w:eastAsia="en-US"/>
                </w:rPr>
                <m:t>w</m:t>
              </m:r>
            </m:e>
            <m:sub>
              <m:r>
                <w:rPr>
                  <w:rFonts w:ascii="Cambria Math" w:hAnsi="Cambria Math" w:cs="Helvetica"/>
                  <w:sz w:val="20"/>
                  <w:szCs w:val="20"/>
                  <w:lang w:val="en-US" w:eastAsia="en-US"/>
                </w:rPr>
                <m:t>c</m:t>
              </m:r>
            </m:sub>
          </m:sSub>
          <m:r>
            <w:rPr>
              <w:rFonts w:ascii="Cambria Math" w:hAnsi="Cambria Math" w:cs="Helvetica"/>
              <w:sz w:val="20"/>
              <w:szCs w:val="20"/>
              <w:lang w:val="en-US" w:eastAsia="en-US"/>
            </w:rPr>
            <m:t>= 1 -</m:t>
          </m:r>
          <m:f>
            <m:fPr>
              <m:ctrlPr>
                <w:rPr>
                  <w:rFonts w:ascii="Cambria Math" w:hAnsi="Cambria Math" w:cs="Helvetica"/>
                  <w:i/>
                  <w:sz w:val="20"/>
                  <w:szCs w:val="20"/>
                  <w:lang w:val="en-US" w:eastAsia="en-US"/>
                </w:rPr>
              </m:ctrlPr>
            </m:fPr>
            <m:num>
              <m:sSub>
                <m:sSubPr>
                  <m:ctrlPr>
                    <w:rPr>
                      <w:rFonts w:ascii="Cambria Math" w:hAnsi="Cambria Math" w:cs="Helvetica"/>
                      <w:i/>
                      <w:sz w:val="20"/>
                      <w:szCs w:val="20"/>
                      <w:lang w:val="en-US" w:eastAsia="en-US"/>
                    </w:rPr>
                  </m:ctrlPr>
                </m:sSubPr>
                <m:e>
                  <m:r>
                    <w:rPr>
                      <w:rFonts w:ascii="Cambria Math" w:hAnsi="Cambria Math" w:cs="Helvetica"/>
                      <w:sz w:val="20"/>
                      <w:szCs w:val="20"/>
                      <w:lang w:val="en-US" w:eastAsia="en-US"/>
                    </w:rPr>
                    <m:t>n</m:t>
                  </m:r>
                </m:e>
                <m:sub>
                  <m:r>
                    <w:rPr>
                      <w:rFonts w:ascii="Cambria Math" w:hAnsi="Cambria Math" w:cs="Helvetica"/>
                      <w:sz w:val="20"/>
                      <w:szCs w:val="20"/>
                      <w:lang w:val="en-US" w:eastAsia="en-US"/>
                    </w:rPr>
                    <m:t>c</m:t>
                  </m:r>
                </m:sub>
              </m:sSub>
            </m:num>
            <m:den>
              <m:sSub>
                <m:sSubPr>
                  <m:ctrlPr>
                    <w:rPr>
                      <w:rFonts w:ascii="Cambria Math" w:hAnsi="Cambria Math" w:cs="Helvetica"/>
                      <w:i/>
                      <w:sz w:val="20"/>
                      <w:szCs w:val="20"/>
                      <w:lang w:val="en-US" w:eastAsia="en-US"/>
                    </w:rPr>
                  </m:ctrlPr>
                </m:sSubPr>
                <m:e>
                  <m:r>
                    <w:rPr>
                      <w:rFonts w:ascii="Cambria Math" w:hAnsi="Cambria Math" w:cs="Helvetica"/>
                      <w:sz w:val="20"/>
                      <w:szCs w:val="20"/>
                      <w:lang w:val="en-US" w:eastAsia="en-US"/>
                    </w:rPr>
                    <m:t>N</m:t>
                  </m:r>
                </m:e>
                <m:sub>
                  <m:r>
                    <w:rPr>
                      <w:rFonts w:ascii="Cambria Math" w:hAnsi="Cambria Math" w:cs="Helvetica"/>
                      <w:sz w:val="20"/>
                      <w:szCs w:val="20"/>
                      <w:lang w:val="en-US" w:eastAsia="en-US"/>
                    </w:rPr>
                    <m:t>train</m:t>
                  </m:r>
                </m:sub>
              </m:sSub>
            </m:den>
          </m:f>
        </m:oMath>
      </m:oMathPara>
    </w:p>
    <w:p w14:paraId="2F63FFAD" w14:textId="45D7FAFE" w:rsidR="000B363A" w:rsidRPr="00F8116C" w:rsidRDefault="000B363A" w:rsidP="0083613B">
      <w:pPr>
        <w:spacing w:after="120" w:line="480" w:lineRule="auto"/>
        <w:jc w:val="both"/>
        <w:rPr>
          <w:rFonts w:ascii="Helvetica" w:hAnsi="Helvetica" w:cs="Helvetica"/>
          <w:sz w:val="20"/>
          <w:szCs w:val="20"/>
          <w:lang w:val="en-US" w:eastAsia="en-US"/>
        </w:rPr>
      </w:pPr>
      <w:r w:rsidRPr="000B363A">
        <w:rPr>
          <w:rFonts w:ascii="Helvetica" w:hAnsi="Helvetica" w:cs="Helvetica"/>
          <w:sz w:val="20"/>
          <w:szCs w:val="20"/>
          <w:lang w:val="en-US" w:eastAsia="en-US"/>
        </w:rPr>
        <w:t>Each training genome received the weight associated with its class. The sampler drew</w:t>
      </w:r>
      <w:r w:rsidR="00DD4AE1">
        <w:rPr>
          <w:rFonts w:ascii="Helvetica" w:hAnsi="Helvetica" w:cs="Helvetica"/>
          <w:sz w:val="20"/>
          <w:szCs w:val="20"/>
          <w:lang w:val="en-US" w:eastAsia="en-US"/>
        </w:rPr>
        <w:t xml:space="preserve"> </w:t>
      </w:r>
      <m:oMath>
        <m:sSub>
          <m:sSubPr>
            <m:ctrlPr>
              <w:rPr>
                <w:rFonts w:ascii="Cambria Math" w:hAnsi="Cambria Math" w:cs="Helvetica"/>
                <w:i/>
                <w:sz w:val="20"/>
                <w:szCs w:val="20"/>
                <w:lang w:val="en-US" w:eastAsia="en-US"/>
              </w:rPr>
            </m:ctrlPr>
          </m:sSubPr>
          <m:e>
            <m:r>
              <w:rPr>
                <w:rFonts w:ascii="Cambria Math" w:hAnsi="Cambria Math" w:cs="Helvetica"/>
                <w:sz w:val="20"/>
                <w:szCs w:val="20"/>
                <w:lang w:val="en-US" w:eastAsia="en-US"/>
              </w:rPr>
              <m:t>N</m:t>
            </m:r>
          </m:e>
          <m:sub>
            <m:r>
              <w:rPr>
                <w:rFonts w:ascii="Cambria Math" w:hAnsi="Cambria Math" w:cs="Helvetica"/>
                <w:sz w:val="20"/>
                <w:szCs w:val="20"/>
                <w:lang w:val="en-US" w:eastAsia="en-US"/>
              </w:rPr>
              <m:t>train</m:t>
            </m:r>
          </m:sub>
        </m:sSub>
      </m:oMath>
      <w:r w:rsidRPr="000B363A">
        <w:rPr>
          <w:rFonts w:ascii="Helvetica" w:hAnsi="Helvetica" w:cs="Helvetica"/>
          <w:sz w:val="20"/>
          <w:szCs w:val="20"/>
          <w:lang w:val="en-US" w:eastAsia="en-US"/>
        </w:rPr>
        <w:t xml:space="preserve"> samples per epoch with replacement. The </w:t>
      </w:r>
      <w:r w:rsidR="00DD4AE1" w:rsidRPr="000B363A">
        <w:rPr>
          <w:rFonts w:ascii="Helvetica" w:hAnsi="Helvetica" w:cs="Helvetica"/>
          <w:sz w:val="20"/>
          <w:szCs w:val="20"/>
          <w:lang w:val="en-US" w:eastAsia="en-US"/>
        </w:rPr>
        <w:t>internal validation</w:t>
      </w:r>
      <w:r w:rsidRPr="000B363A">
        <w:rPr>
          <w:rFonts w:ascii="Helvetica" w:hAnsi="Helvetica" w:cs="Helvetica"/>
          <w:sz w:val="20"/>
          <w:szCs w:val="20"/>
          <w:lang w:val="en-US" w:eastAsia="en-US"/>
        </w:rPr>
        <w:t xml:space="preserve"> and held-out-test loaders were not resampled.</w:t>
      </w:r>
    </w:p>
    <w:p w14:paraId="5E6271DA" w14:textId="77777777" w:rsidR="00322B86" w:rsidRPr="00322B86" w:rsidRDefault="00322B86" w:rsidP="00322B86">
      <w:pPr>
        <w:spacing w:after="120" w:line="480" w:lineRule="auto"/>
        <w:jc w:val="both"/>
        <w:rPr>
          <w:rFonts w:ascii="Helvetica" w:hAnsi="Helvetica" w:cs="Helvetica"/>
          <w:sz w:val="20"/>
          <w:szCs w:val="20"/>
          <w:lang w:val="en-US" w:eastAsia="en-US"/>
        </w:rPr>
      </w:pPr>
      <w:r w:rsidRPr="00322B86">
        <w:rPr>
          <w:rFonts w:ascii="Helvetica" w:hAnsi="Helvetica" w:cs="Helvetica"/>
          <w:sz w:val="20"/>
          <w:szCs w:val="20"/>
          <w:lang w:val="en-US" w:eastAsia="en-US"/>
        </w:rPr>
        <w:t>Partition-level accuracy and per-serotype F1-scores were calculated independently for each held-out continent, collection period, or CD-HIT fold.</w:t>
      </w:r>
    </w:p>
    <w:p w14:paraId="7CFB3686" w14:textId="33DBDD1F" w:rsidR="00322B86" w:rsidRPr="00322B86" w:rsidRDefault="00322B86" w:rsidP="0083613B">
      <w:pPr>
        <w:spacing w:after="120" w:line="480" w:lineRule="auto"/>
        <w:jc w:val="both"/>
        <w:rPr>
          <w:rFonts w:ascii="Helvetica" w:hAnsi="Helvetica" w:cs="Helvetica"/>
          <w:sz w:val="20"/>
          <w:szCs w:val="20"/>
          <w:lang w:val="en-US" w:eastAsia="en-US"/>
        </w:rPr>
      </w:pPr>
      <w:r w:rsidRPr="00322B86">
        <w:rPr>
          <w:rFonts w:ascii="Helvetica" w:hAnsi="Helvetica" w:cs="Helvetica"/>
          <w:sz w:val="20"/>
          <w:szCs w:val="20"/>
          <w:lang w:val="en-US" w:eastAsia="en-US"/>
        </w:rPr>
        <w:t>For protocol-level pooled summaries and paired model comparisons, the held-out predictions from the mutually exclusive outer partitions of the same validation protocol were concatenated using the original global dataset indices. Each of the 29,091 genomes therefore contributed exactly one held-out prediction to each protocol-level analysis. Predicted probabilities and partition-level metric values were not averaged across outer partitions.</w:t>
      </w:r>
    </w:p>
    <w:p w14:paraId="48CC7156" w14:textId="356C6FB4" w:rsidR="0083613B" w:rsidRPr="007D24E2" w:rsidRDefault="007D24E2" w:rsidP="0083613B">
      <w:pPr>
        <w:spacing w:after="120" w:line="480" w:lineRule="auto"/>
        <w:jc w:val="both"/>
        <w:rPr>
          <w:rFonts w:ascii="Helvetica" w:hAnsi="Helvetica" w:cs="Helvetica"/>
          <w:i/>
          <w:iCs/>
          <w:sz w:val="20"/>
          <w:szCs w:val="20"/>
          <w:u w:val="single"/>
          <w:lang w:val="en-US" w:eastAsia="en-US"/>
        </w:rPr>
      </w:pPr>
      <w:r w:rsidRPr="007D24E2">
        <w:rPr>
          <w:rFonts w:ascii="Helvetica" w:hAnsi="Helvetica" w:cs="Helvetica"/>
          <w:i/>
          <w:iCs/>
          <w:sz w:val="20"/>
          <w:szCs w:val="20"/>
          <w:u w:val="single"/>
          <w:lang w:val="en-US" w:eastAsia="en-US"/>
        </w:rPr>
        <w:t xml:space="preserve">Classification </w:t>
      </w:r>
      <w:r w:rsidR="006A781C">
        <w:rPr>
          <w:rFonts w:ascii="Helvetica" w:hAnsi="Helvetica" w:cs="Helvetica"/>
          <w:i/>
          <w:iCs/>
          <w:sz w:val="20"/>
          <w:szCs w:val="20"/>
          <w:u w:val="single"/>
          <w:lang w:val="en-US" w:eastAsia="en-US"/>
        </w:rPr>
        <w:t>c</w:t>
      </w:r>
      <w:r w:rsidRPr="007D24E2">
        <w:rPr>
          <w:rFonts w:ascii="Helvetica" w:hAnsi="Helvetica" w:cs="Helvetica"/>
          <w:i/>
          <w:iCs/>
          <w:sz w:val="20"/>
          <w:szCs w:val="20"/>
          <w:u w:val="single"/>
          <w:lang w:val="en-US" w:eastAsia="en-US"/>
        </w:rPr>
        <w:t xml:space="preserve">onfusion </w:t>
      </w:r>
      <w:proofErr w:type="spellStart"/>
      <w:r w:rsidR="006A781C">
        <w:rPr>
          <w:rFonts w:ascii="Helvetica" w:hAnsi="Helvetica" w:cs="Helvetica"/>
          <w:i/>
          <w:iCs/>
          <w:sz w:val="20"/>
          <w:szCs w:val="20"/>
          <w:u w:val="single"/>
          <w:lang w:val="en-US" w:eastAsia="en-US"/>
        </w:rPr>
        <w:t>m</w:t>
      </w:r>
      <w:r w:rsidRPr="007D24E2">
        <w:rPr>
          <w:rFonts w:ascii="Helvetica" w:hAnsi="Helvetica" w:cs="Helvetica"/>
          <w:i/>
          <w:iCs/>
          <w:sz w:val="20"/>
          <w:szCs w:val="20"/>
          <w:u w:val="single"/>
          <w:lang w:val="en-US" w:eastAsia="en-US"/>
        </w:rPr>
        <w:t>atrice</w:t>
      </w:r>
      <w:proofErr w:type="spellEnd"/>
      <w:r w:rsidR="0083613B" w:rsidRPr="007D24E2">
        <w:rPr>
          <w:rFonts w:ascii="Helvetica" w:hAnsi="Helvetica"/>
          <w:bCs/>
          <w:i/>
          <w:iCs/>
          <w:sz w:val="20"/>
          <w:szCs w:val="20"/>
          <w:u w:val="single"/>
          <w:lang w:val="en-GB"/>
        </w:rPr>
        <w:t>s</w:t>
      </w:r>
    </w:p>
    <w:p w14:paraId="48E1FDD6" w14:textId="2BB51DA8" w:rsidR="00A25780" w:rsidRDefault="00E92566" w:rsidP="00B04677">
      <w:pPr>
        <w:spacing w:after="120" w:line="480" w:lineRule="auto"/>
        <w:jc w:val="both"/>
        <w:rPr>
          <w:rFonts w:ascii="Helvetica" w:hAnsi="Helvetica"/>
          <w:bCs/>
          <w:sz w:val="20"/>
          <w:szCs w:val="20"/>
          <w:lang w:val="en-GB"/>
        </w:rPr>
      </w:pPr>
      <w:r w:rsidRPr="00E92566">
        <w:rPr>
          <w:rFonts w:ascii="Helvetica" w:hAnsi="Helvetica"/>
          <w:bCs/>
          <w:sz w:val="20"/>
          <w:szCs w:val="20"/>
          <w:lang w:val="en-US"/>
        </w:rPr>
        <w:t>Confusion matrices were computed separately for each geographical, temporal, and CD-HIT cluster-aware held-out partition using ground-truth and predicted serotype labels</w:t>
      </w:r>
      <w:r w:rsidR="00A25780" w:rsidRPr="00A25780">
        <w:rPr>
          <w:rFonts w:ascii="Helvetica" w:hAnsi="Helvetica"/>
          <w:bCs/>
          <w:sz w:val="20"/>
          <w:szCs w:val="20"/>
          <w:lang w:val="en-GB"/>
        </w:rPr>
        <w:t>.</w:t>
      </w:r>
    </w:p>
    <w:p w14:paraId="4A364BF1" w14:textId="0DB7BA72" w:rsidR="00C71382" w:rsidRPr="00C71382" w:rsidRDefault="00C71382" w:rsidP="00B04677">
      <w:pPr>
        <w:spacing w:after="120" w:line="480" w:lineRule="auto"/>
        <w:jc w:val="both"/>
        <w:rPr>
          <w:rFonts w:ascii="Helvetica" w:hAnsi="Helvetica"/>
          <w:bCs/>
          <w:i/>
          <w:iCs/>
          <w:sz w:val="20"/>
          <w:szCs w:val="20"/>
          <w:u w:val="single"/>
          <w:lang w:val="en-US"/>
        </w:rPr>
      </w:pPr>
      <w:r w:rsidRPr="00C71382">
        <w:rPr>
          <w:rFonts w:ascii="Helvetica" w:hAnsi="Helvetica"/>
          <w:bCs/>
          <w:i/>
          <w:iCs/>
          <w:sz w:val="20"/>
          <w:szCs w:val="20"/>
          <w:u w:val="single"/>
          <w:lang w:val="en-US"/>
        </w:rPr>
        <w:t>Sequence-level baseline analysis</w:t>
      </w:r>
    </w:p>
    <w:p w14:paraId="62416AEA" w14:textId="77777777" w:rsidR="00C71382" w:rsidRPr="00C71382" w:rsidRDefault="00C71382" w:rsidP="00C71382">
      <w:pPr>
        <w:spacing w:after="120" w:line="480" w:lineRule="auto"/>
        <w:jc w:val="both"/>
        <w:rPr>
          <w:rFonts w:ascii="Helvetica" w:hAnsi="Helvetica"/>
          <w:bCs/>
          <w:sz w:val="20"/>
          <w:szCs w:val="20"/>
          <w:lang w:val="en-US"/>
        </w:rPr>
      </w:pPr>
      <w:r w:rsidRPr="00C71382">
        <w:rPr>
          <w:rFonts w:ascii="Helvetica" w:hAnsi="Helvetica"/>
          <w:bCs/>
          <w:sz w:val="20"/>
          <w:szCs w:val="20"/>
          <w:lang w:val="en-US"/>
        </w:rPr>
        <w:t>To quantify the serotype information contained in global sequence properties, we evaluated classifiers that did not use nucleotide order, local sequence motifs, one-hot encoded position-level inputs, learned embeddings, or Transformer representations. The analysis included all 29,091 genomes and used the same ground-truth targets and geographical, temporal, and CD-HIT cluster-aware validation partitions adopted in the primary experiments.</w:t>
      </w:r>
    </w:p>
    <w:p w14:paraId="02AF86C7" w14:textId="77777777" w:rsidR="00C71382" w:rsidRPr="00C71382" w:rsidRDefault="00C71382" w:rsidP="00C71382">
      <w:pPr>
        <w:spacing w:after="120" w:line="480" w:lineRule="auto"/>
        <w:jc w:val="both"/>
        <w:rPr>
          <w:rFonts w:ascii="Helvetica" w:hAnsi="Helvetica"/>
          <w:bCs/>
          <w:sz w:val="20"/>
          <w:szCs w:val="20"/>
          <w:lang w:val="en-US"/>
        </w:rPr>
      </w:pPr>
      <w:r w:rsidRPr="00C71382">
        <w:rPr>
          <w:rFonts w:ascii="Helvetica" w:hAnsi="Helvetica"/>
          <w:bCs/>
          <w:sz w:val="20"/>
          <w:szCs w:val="20"/>
          <w:lang w:val="en-US"/>
        </w:rPr>
        <w:t>The evaluated predictors included sequence length, N fraction, GC fraction, and combinations of these variables. A broader sequence-quality feature set additionally comprised the fractions of non-N IUPAC ambiguity symbols, gap characters, and other non-ACGT symbols. Sequence length also directly determined the amount of terminal zero-padding because all genomes were padded to the common maximum sequence length. GC fraction was calculated relative to the total number of unambiguous A, C, G, and T positions.</w:t>
      </w:r>
    </w:p>
    <w:p w14:paraId="779B7917" w14:textId="481855E0" w:rsidR="00FB17B4" w:rsidRPr="009B60F8" w:rsidRDefault="00C71382" w:rsidP="009B60F8">
      <w:pPr>
        <w:spacing w:after="120" w:line="480" w:lineRule="auto"/>
        <w:jc w:val="both"/>
        <w:rPr>
          <w:rFonts w:ascii="Helvetica" w:hAnsi="Helvetica"/>
          <w:bCs/>
          <w:sz w:val="20"/>
          <w:szCs w:val="20"/>
          <w:lang w:val="en-US"/>
        </w:rPr>
      </w:pPr>
      <w:r w:rsidRPr="00C71382">
        <w:rPr>
          <w:rFonts w:ascii="Helvetica" w:hAnsi="Helvetica"/>
          <w:bCs/>
          <w:sz w:val="20"/>
          <w:szCs w:val="20"/>
          <w:lang w:val="en-US"/>
        </w:rPr>
        <w:t>A majority-class classifier was included as a reference. Linear associations were evaluated using multinomial Logistic Regression, whereas possible nonlinear relationships among the complete set of global sequence properties were assessed using histogram gradient boosting. All models were fitted and evaluated independently within the original training and held-out test subsets. Accuracy, balanced accuracy, and macro-averaged F1-score were calculated from the pooled held-out predictions across all partitions of each validation protocol.</w:t>
      </w:r>
    </w:p>
    <w:p w14:paraId="7639FB27" w14:textId="0DBF1BD5" w:rsidR="00482724" w:rsidRPr="00482724" w:rsidRDefault="00482724" w:rsidP="00482724">
      <w:pPr>
        <w:spacing w:before="120" w:line="480" w:lineRule="auto"/>
        <w:jc w:val="both"/>
        <w:rPr>
          <w:rFonts w:ascii="Helvetica" w:hAnsi="Helvetica" w:cstheme="minorHAnsi"/>
          <w:bCs/>
          <w:i/>
          <w:iCs/>
          <w:sz w:val="20"/>
          <w:szCs w:val="20"/>
          <w:u w:val="single"/>
          <w:lang w:val="en-US"/>
        </w:rPr>
      </w:pPr>
      <w:r w:rsidRPr="00482724">
        <w:rPr>
          <w:rFonts w:ascii="Helvetica" w:hAnsi="Helvetica" w:cstheme="minorHAnsi"/>
          <w:bCs/>
          <w:i/>
          <w:iCs/>
          <w:sz w:val="20"/>
          <w:szCs w:val="20"/>
          <w:u w:val="single"/>
          <w:lang w:val="en-US"/>
        </w:rPr>
        <w:t>Statistical comparison of model performance</w:t>
      </w:r>
    </w:p>
    <w:p w14:paraId="2964F923" w14:textId="77777777" w:rsidR="00482724" w:rsidRPr="002B246B" w:rsidRDefault="00482724" w:rsidP="00482724">
      <w:pPr>
        <w:spacing w:before="120" w:line="480" w:lineRule="auto"/>
        <w:jc w:val="both"/>
        <w:rPr>
          <w:rFonts w:ascii="Helvetica" w:hAnsi="Helvetica" w:cstheme="minorHAnsi"/>
          <w:bCs/>
          <w:sz w:val="20"/>
          <w:szCs w:val="20"/>
          <w:lang w:val="en-US"/>
        </w:rPr>
      </w:pPr>
      <w:r w:rsidRPr="002B246B">
        <w:rPr>
          <w:rFonts w:ascii="Helvetica" w:hAnsi="Helvetica" w:cstheme="minorHAnsi"/>
          <w:bCs/>
          <w:sz w:val="20"/>
          <w:szCs w:val="20"/>
          <w:lang w:val="en-US"/>
        </w:rPr>
        <w:t>Formal model comparisons were performed at the prediction level using aligned held-out predictions from the same genomes. Inferential tests were not applied to the small number of structured outer-partition scores. The primary endpoint was the paired difference in accuracy between models.</w:t>
      </w:r>
    </w:p>
    <w:p w14:paraId="21B671D5" w14:textId="77777777" w:rsidR="00482724" w:rsidRPr="002B246B" w:rsidRDefault="00482724" w:rsidP="00482724">
      <w:pPr>
        <w:spacing w:before="120" w:line="480" w:lineRule="auto"/>
        <w:jc w:val="both"/>
        <w:rPr>
          <w:rFonts w:ascii="Helvetica" w:hAnsi="Helvetica" w:cstheme="minorHAnsi"/>
          <w:bCs/>
          <w:sz w:val="20"/>
          <w:szCs w:val="20"/>
          <w:lang w:val="en-US"/>
        </w:rPr>
      </w:pPr>
      <w:r w:rsidRPr="002B246B">
        <w:rPr>
          <w:rFonts w:ascii="Helvetica" w:hAnsi="Helvetica" w:cstheme="minorHAnsi"/>
          <w:bCs/>
          <w:sz w:val="20"/>
          <w:szCs w:val="20"/>
          <w:lang w:val="en-US"/>
        </w:rPr>
        <w:t>Confidence intervals were estimated using a paired nonparametric bootstrap that resampled complete serotype-specific CD-HIT clusters with replacement, stratified by true serotype. A total of 10,000 bootstrap replicates were used. Statistical significance was assessed using a two-sided paired sign-flip permutation test at the same serotype-specific CD-HIT-cluster level, using 100,000 permutation replicates. This cluster-aware approach preserved the pairing between model predictions while reducing the risk of treating highly similar genomes as statistically independent observations.</w:t>
      </w:r>
    </w:p>
    <w:p w14:paraId="6F39C21B" w14:textId="77777777" w:rsidR="00482724" w:rsidRPr="002B246B" w:rsidRDefault="00482724" w:rsidP="00482724">
      <w:pPr>
        <w:spacing w:before="120" w:line="480" w:lineRule="auto"/>
        <w:jc w:val="both"/>
        <w:rPr>
          <w:rFonts w:ascii="Helvetica" w:hAnsi="Helvetica" w:cstheme="minorHAnsi"/>
          <w:bCs/>
          <w:sz w:val="20"/>
          <w:szCs w:val="20"/>
          <w:lang w:val="en-US"/>
        </w:rPr>
      </w:pPr>
      <w:r w:rsidRPr="002B246B">
        <w:rPr>
          <w:rFonts w:ascii="Helvetica" w:hAnsi="Helvetica" w:cstheme="minorHAnsi"/>
          <w:bCs/>
          <w:sz w:val="20"/>
          <w:szCs w:val="20"/>
          <w:lang w:val="en-US"/>
        </w:rPr>
        <w:t>Holm correction was applied separately to the prespecified benchmark comparison family and the DENFormer pooling-ablation comparison family. The benchmark family included comparisons of DENFormer-mean with Longformer, Performer, FFNN, and Logistic Regression under each validation protocol. The ablation family included all pairwise comparisons among DENFormer-first, DENFormer-mean, and DENFormer-max under each protocol.</w:t>
      </w:r>
    </w:p>
    <w:p w14:paraId="7FB5A2F8" w14:textId="0F084740" w:rsidR="00482724" w:rsidRDefault="00482724" w:rsidP="00482724">
      <w:pPr>
        <w:spacing w:before="120" w:line="480" w:lineRule="auto"/>
        <w:jc w:val="both"/>
        <w:rPr>
          <w:rFonts w:ascii="Helvetica" w:hAnsi="Helvetica" w:cstheme="minorHAnsi"/>
          <w:bCs/>
          <w:sz w:val="20"/>
          <w:szCs w:val="20"/>
          <w:lang w:val="en-US"/>
        </w:rPr>
      </w:pPr>
      <w:r w:rsidRPr="002B246B">
        <w:rPr>
          <w:rFonts w:ascii="Helvetica" w:hAnsi="Helvetica" w:cstheme="minorHAnsi"/>
          <w:bCs/>
          <w:sz w:val="20"/>
          <w:szCs w:val="20"/>
          <w:lang w:val="en-US"/>
        </w:rPr>
        <w:t xml:space="preserve">Exact two-sided McNemar tests based on genome-level correctness indicators were additionally reported as a sensitivity analysis. Differences in macro-averaged F1-score and per-serotype F1-score were examined as secondary endpoints using paired cluster-bootstrap confidence intervals. </w:t>
      </w:r>
      <w:r w:rsidR="00727BA8" w:rsidRPr="00727BA8">
        <w:rPr>
          <w:rFonts w:ascii="Helvetica" w:hAnsi="Helvetica" w:cstheme="minorHAnsi"/>
          <w:bCs/>
          <w:sz w:val="20"/>
          <w:szCs w:val="20"/>
          <w:lang w:val="en-US"/>
        </w:rPr>
        <w:t xml:space="preserve">Complete numerical results, including primary accuracy comparisons, cluster-bootstrap confidence intervals, Holm-adjusted permutation p-values, exact McNemar sensitivity analyses, </w:t>
      </w:r>
      <w:r w:rsidR="000468EC">
        <w:rPr>
          <w:rFonts w:ascii="Helvetica" w:hAnsi="Helvetica" w:cstheme="minorHAnsi"/>
          <w:bCs/>
          <w:sz w:val="20"/>
          <w:szCs w:val="20"/>
          <w:lang w:val="en-US"/>
        </w:rPr>
        <w:t xml:space="preserve">and </w:t>
      </w:r>
      <w:r w:rsidR="00727BA8" w:rsidRPr="00727BA8">
        <w:rPr>
          <w:rFonts w:ascii="Helvetica" w:hAnsi="Helvetica" w:cstheme="minorHAnsi"/>
          <w:bCs/>
          <w:sz w:val="20"/>
          <w:szCs w:val="20"/>
          <w:lang w:val="en-US"/>
        </w:rPr>
        <w:t>macro-F1 and per-serotype F1 comparisons</w:t>
      </w:r>
      <w:r w:rsidR="00253AE3">
        <w:rPr>
          <w:rFonts w:ascii="Helvetica" w:hAnsi="Helvetica" w:cstheme="minorHAnsi"/>
          <w:bCs/>
          <w:sz w:val="20"/>
          <w:szCs w:val="20"/>
          <w:lang w:val="en-US"/>
        </w:rPr>
        <w:t>,</w:t>
      </w:r>
      <w:r w:rsidR="00727BA8" w:rsidRPr="00727BA8">
        <w:rPr>
          <w:rFonts w:ascii="Helvetica" w:hAnsi="Helvetica" w:cstheme="minorHAnsi"/>
          <w:bCs/>
          <w:sz w:val="20"/>
          <w:szCs w:val="20"/>
          <w:lang w:val="en-US"/>
        </w:rPr>
        <w:t xml:space="preserve"> are provided in Supplementary File S3</w:t>
      </w:r>
      <w:r w:rsidRPr="002B246B">
        <w:rPr>
          <w:rFonts w:ascii="Helvetica" w:hAnsi="Helvetica" w:cstheme="minorHAnsi"/>
          <w:bCs/>
          <w:sz w:val="20"/>
          <w:szCs w:val="20"/>
          <w:lang w:val="en-US"/>
        </w:rPr>
        <w:t>.</w:t>
      </w:r>
    </w:p>
    <w:p w14:paraId="010BCF27" w14:textId="583260E2" w:rsidR="00523A27" w:rsidRPr="00523A27" w:rsidRDefault="00523A27" w:rsidP="00482724">
      <w:pPr>
        <w:spacing w:before="120" w:line="480" w:lineRule="auto"/>
        <w:jc w:val="both"/>
        <w:rPr>
          <w:rFonts w:ascii="Helvetica" w:hAnsi="Helvetica" w:cstheme="minorHAnsi"/>
          <w:bCs/>
          <w:sz w:val="20"/>
          <w:szCs w:val="20"/>
          <w:lang w:val="en-US"/>
        </w:rPr>
      </w:pPr>
      <w:r w:rsidRPr="00523A27">
        <w:rPr>
          <w:rFonts w:ascii="Helvetica" w:hAnsi="Helvetica" w:cstheme="minorHAnsi"/>
          <w:bCs/>
          <w:sz w:val="20"/>
          <w:szCs w:val="20"/>
          <w:lang w:val="en-US"/>
        </w:rPr>
        <w:t>Inferential conclusions were based on the Holm-adjusted cluster-level permutation p-values. Cluster-bootstrap confidence intervals were not adjusted for multiple comparisons and were reported to quantify the magnitude and uncertainty of the observed differences.</w:t>
      </w:r>
    </w:p>
    <w:p w14:paraId="05CD00CE" w14:textId="2E475F70" w:rsidR="00E23A4C" w:rsidRPr="00E23A4C" w:rsidRDefault="00E23A4C" w:rsidP="00E23A4C">
      <w:pPr>
        <w:spacing w:after="120" w:line="480" w:lineRule="auto"/>
        <w:jc w:val="both"/>
        <w:rPr>
          <w:rFonts w:ascii="Helvetica" w:hAnsi="Helvetica"/>
          <w:i/>
          <w:iCs/>
          <w:sz w:val="20"/>
          <w:szCs w:val="20"/>
          <w:u w:val="single"/>
          <w:lang w:val="en-US"/>
        </w:rPr>
      </w:pPr>
      <w:r w:rsidRPr="00E23A4C">
        <w:rPr>
          <w:rFonts w:ascii="Helvetica" w:hAnsi="Helvetica"/>
          <w:i/>
          <w:iCs/>
          <w:sz w:val="20"/>
          <w:szCs w:val="20"/>
          <w:u w:val="single"/>
          <w:lang w:val="en-US"/>
        </w:rPr>
        <w:t>Computational efficiency benchmark</w:t>
      </w:r>
    </w:p>
    <w:p w14:paraId="24A48B45" w14:textId="0F8F463A" w:rsidR="00E23A4C" w:rsidRPr="00E23A4C" w:rsidRDefault="00E23A4C" w:rsidP="00E23A4C">
      <w:pPr>
        <w:spacing w:after="120" w:line="480" w:lineRule="auto"/>
        <w:jc w:val="both"/>
        <w:rPr>
          <w:rFonts w:ascii="Helvetica" w:hAnsi="Helvetica"/>
          <w:bCs/>
          <w:sz w:val="20"/>
          <w:szCs w:val="20"/>
          <w:lang w:val="en-US"/>
        </w:rPr>
      </w:pPr>
      <w:r w:rsidRPr="00E23A4C">
        <w:rPr>
          <w:rFonts w:ascii="Helvetica" w:hAnsi="Helvetica"/>
          <w:bCs/>
          <w:sz w:val="20"/>
          <w:szCs w:val="20"/>
          <w:lang w:val="en-US"/>
        </w:rPr>
        <w:t>A controlled computational efficiency benchmark was performed for Logistic Regression, FFNN, DENFormer-first, DENFormer-mean, DENFormer-max, Longformer, and Performer using the first CD-HIT cluster-aware fold. The benchmark included 16,021 training genomes, 1,780 validation genomes, and 11,290 test genomes. All models used one-hot encoded inputs, a batch size of 32, a fixed random seed of 0, float32 precision, and the same software environment. Measurements were obtained on an NVIDIA H200 NVL GPU under a fixed MPS allocation of 50</w:t>
      </w:r>
      <w:r w:rsidR="00A37B79">
        <w:rPr>
          <w:rFonts w:ascii="Helvetica" w:hAnsi="Helvetica"/>
          <w:bCs/>
          <w:sz w:val="20"/>
          <w:szCs w:val="20"/>
          <w:lang w:val="en-US"/>
        </w:rPr>
        <w:t>%</w:t>
      </w:r>
      <w:r w:rsidRPr="00E23A4C">
        <w:rPr>
          <w:rFonts w:ascii="Helvetica" w:hAnsi="Helvetica"/>
          <w:bCs/>
          <w:sz w:val="20"/>
          <w:szCs w:val="20"/>
          <w:lang w:val="en-US"/>
        </w:rPr>
        <w:t>.</w:t>
      </w:r>
    </w:p>
    <w:p w14:paraId="577FA4E4" w14:textId="77777777" w:rsidR="00E23A4C" w:rsidRPr="00E23A4C" w:rsidRDefault="00E23A4C" w:rsidP="00E23A4C">
      <w:pPr>
        <w:spacing w:after="120" w:line="480" w:lineRule="auto"/>
        <w:jc w:val="both"/>
        <w:rPr>
          <w:rFonts w:ascii="Helvetica" w:hAnsi="Helvetica"/>
          <w:bCs/>
          <w:sz w:val="20"/>
          <w:szCs w:val="20"/>
          <w:lang w:val="en-US"/>
        </w:rPr>
      </w:pPr>
      <w:r w:rsidRPr="00E23A4C">
        <w:rPr>
          <w:rFonts w:ascii="Helvetica" w:hAnsi="Helvetica"/>
          <w:bCs/>
          <w:sz w:val="20"/>
          <w:szCs w:val="20"/>
          <w:lang w:val="en-US"/>
        </w:rPr>
        <w:t xml:space="preserve">For the training benchmark, each model was initialized from scratch and run for one complete warm-up epoch, followed by three measured epochs. Each epoch consisted of a complete training pass followed by validation. The reported training time refers to the training pass only, while peak allocated GPU memory was measured over the complete training and validation epoch using </w:t>
      </w:r>
      <w:proofErr w:type="spellStart"/>
      <w:r w:rsidRPr="00E23A4C">
        <w:rPr>
          <w:rFonts w:ascii="Helvetica" w:hAnsi="Helvetica"/>
          <w:bCs/>
          <w:sz w:val="20"/>
          <w:szCs w:val="20"/>
          <w:lang w:val="en-US"/>
        </w:rPr>
        <w:t>PyTorch</w:t>
      </w:r>
      <w:proofErr w:type="spellEnd"/>
      <w:r w:rsidRPr="00E23A4C">
        <w:rPr>
          <w:rFonts w:ascii="Helvetica" w:hAnsi="Helvetica"/>
          <w:bCs/>
          <w:sz w:val="20"/>
          <w:szCs w:val="20"/>
          <w:lang w:val="en-US"/>
        </w:rPr>
        <w:t xml:space="preserve"> CUDA peak-memory statistics.</w:t>
      </w:r>
    </w:p>
    <w:p w14:paraId="182AC8F4" w14:textId="4D092241" w:rsidR="00E23A4C" w:rsidRPr="00E23A4C" w:rsidRDefault="00E23A4C" w:rsidP="00B04677">
      <w:pPr>
        <w:spacing w:after="120" w:line="480" w:lineRule="auto"/>
        <w:jc w:val="both"/>
        <w:rPr>
          <w:rFonts w:ascii="Helvetica" w:hAnsi="Helvetica"/>
          <w:bCs/>
          <w:sz w:val="20"/>
          <w:szCs w:val="20"/>
          <w:lang w:val="en-US"/>
        </w:rPr>
      </w:pPr>
      <w:r w:rsidRPr="00E23A4C">
        <w:rPr>
          <w:rFonts w:ascii="Helvetica" w:hAnsi="Helvetica"/>
          <w:bCs/>
          <w:sz w:val="20"/>
          <w:szCs w:val="20"/>
          <w:lang w:val="en-US"/>
        </w:rPr>
        <w:t xml:space="preserve">For the inference benchmark, the original checkpoints trained for 100 epochs were loaded. After ten warm-up batches, three complete inference passes were performed on the same held-out test subset. Timing included host-to-device transfer, the forward pass, softmax computation, class prediction, and accuracy accumulation. CUDA synchronization was applied before and after each </w:t>
      </w:r>
      <w:proofErr w:type="gramStart"/>
      <w:r w:rsidRPr="00E23A4C">
        <w:rPr>
          <w:rFonts w:ascii="Helvetica" w:hAnsi="Helvetica"/>
          <w:bCs/>
          <w:sz w:val="20"/>
          <w:szCs w:val="20"/>
          <w:lang w:val="en-US"/>
        </w:rPr>
        <w:t>timed</w:t>
      </w:r>
      <w:proofErr w:type="gramEnd"/>
      <w:r w:rsidRPr="00E23A4C">
        <w:rPr>
          <w:rFonts w:ascii="Helvetica" w:hAnsi="Helvetica"/>
          <w:bCs/>
          <w:sz w:val="20"/>
          <w:szCs w:val="20"/>
          <w:lang w:val="en-US"/>
        </w:rPr>
        <w:t xml:space="preserve"> pass. Training time, inference time, and throughput are reported as medians across the three measurements, whereas GPU memory corresponds to the maximum peak allocated memory observed across the measured runs.</w:t>
      </w:r>
    </w:p>
    <w:p w14:paraId="0FCCD9EE" w14:textId="21C976DF" w:rsidR="000E4FA3" w:rsidRPr="0036197A" w:rsidRDefault="0036197A" w:rsidP="00B04677">
      <w:pPr>
        <w:spacing w:after="120" w:line="480" w:lineRule="auto"/>
        <w:jc w:val="both"/>
        <w:rPr>
          <w:rFonts w:ascii="Helvetica" w:hAnsi="Helvetica"/>
          <w:bCs/>
          <w:i/>
          <w:iCs/>
          <w:sz w:val="20"/>
          <w:szCs w:val="20"/>
          <w:u w:val="single"/>
          <w:lang w:val="en-GB"/>
        </w:rPr>
      </w:pPr>
      <w:r w:rsidRPr="0036197A">
        <w:rPr>
          <w:rFonts w:ascii="Helvetica" w:hAnsi="Helvetica"/>
          <w:bCs/>
          <w:i/>
          <w:iCs/>
          <w:sz w:val="20"/>
          <w:szCs w:val="20"/>
          <w:u w:val="single"/>
          <w:lang w:val="en-GB"/>
        </w:rPr>
        <w:t>Mathematical XAI</w:t>
      </w:r>
    </w:p>
    <w:p w14:paraId="38EFD0CC" w14:textId="21B658A1" w:rsidR="004B698D" w:rsidRPr="004B698D" w:rsidRDefault="004B698D" w:rsidP="00B04677">
      <w:pPr>
        <w:spacing w:after="120" w:line="480" w:lineRule="auto"/>
        <w:jc w:val="both"/>
        <w:rPr>
          <w:rFonts w:ascii="Helvetica" w:hAnsi="Helvetica"/>
          <w:bCs/>
          <w:sz w:val="20"/>
          <w:szCs w:val="20"/>
          <w:lang w:val="en-GB"/>
        </w:rPr>
      </w:pPr>
      <w:r w:rsidRPr="004B698D">
        <w:rPr>
          <w:rFonts w:ascii="Helvetica" w:hAnsi="Helvetica"/>
          <w:bCs/>
          <w:sz w:val="20"/>
          <w:szCs w:val="20"/>
          <w:lang w:val="en-GB"/>
        </w:rPr>
        <w:t>Principal Component Analysis (PCA) and Uniform Manifold Approximation and Projection (UMAP) were used as complementary dimensionality reduction techniques to the t-SNE analysis.</w:t>
      </w:r>
    </w:p>
    <w:p w14:paraId="6329FC52" w14:textId="77777777" w:rsidR="004B698D" w:rsidRPr="004B698D" w:rsidRDefault="004B698D" w:rsidP="00B04677">
      <w:pPr>
        <w:spacing w:after="120" w:line="480" w:lineRule="auto"/>
        <w:jc w:val="both"/>
        <w:rPr>
          <w:rFonts w:ascii="Helvetica" w:hAnsi="Helvetica"/>
          <w:bCs/>
          <w:sz w:val="20"/>
          <w:szCs w:val="20"/>
          <w:lang w:val="en-GB"/>
        </w:rPr>
      </w:pPr>
      <w:r w:rsidRPr="004B698D">
        <w:rPr>
          <w:rFonts w:ascii="Helvetica" w:hAnsi="Helvetica"/>
          <w:bCs/>
          <w:sz w:val="20"/>
          <w:szCs w:val="20"/>
          <w:lang w:val="en-GB"/>
        </w:rPr>
        <w:t>PCA was applied as a linear dimensionality reduction method to transform correlated features into an orthogonal set of linearly uncorrelated components, maximizing the variance captured by the leading components. This analysis provided a preliminary overview of the global structure and variance distribution within the learned feature space.</w:t>
      </w:r>
    </w:p>
    <w:p w14:paraId="19F0563E" w14:textId="1D8520AE" w:rsidR="004B698D" w:rsidRPr="00B04677" w:rsidRDefault="004B698D" w:rsidP="00B04677">
      <w:pPr>
        <w:spacing w:after="120" w:line="480" w:lineRule="auto"/>
        <w:jc w:val="both"/>
        <w:rPr>
          <w:rFonts w:ascii="Helvetica" w:hAnsi="Helvetica"/>
          <w:bCs/>
          <w:sz w:val="20"/>
          <w:szCs w:val="20"/>
          <w:lang w:val="en-GB"/>
        </w:rPr>
      </w:pPr>
      <w:r w:rsidRPr="004B698D">
        <w:rPr>
          <w:rFonts w:ascii="Helvetica" w:hAnsi="Helvetica"/>
          <w:bCs/>
          <w:sz w:val="20"/>
          <w:szCs w:val="20"/>
          <w:lang w:val="en-GB"/>
        </w:rPr>
        <w:t xml:space="preserve">UMAP was applied as a nonlinear manifold learning technique to complement t-SNE visualization. UMAP preserves both local and broader topological relationships by constructing a weighted k-nearest </w:t>
      </w:r>
      <w:proofErr w:type="spellStart"/>
      <w:r w:rsidRPr="004B698D">
        <w:rPr>
          <w:rFonts w:ascii="Helvetica" w:hAnsi="Helvetica"/>
          <w:bCs/>
          <w:sz w:val="20"/>
          <w:szCs w:val="20"/>
          <w:lang w:val="en-GB"/>
        </w:rPr>
        <w:t>neighbor</w:t>
      </w:r>
      <w:proofErr w:type="spellEnd"/>
      <w:r w:rsidRPr="004B698D">
        <w:rPr>
          <w:rFonts w:ascii="Helvetica" w:hAnsi="Helvetica"/>
          <w:bCs/>
          <w:sz w:val="20"/>
          <w:szCs w:val="20"/>
          <w:lang w:val="en-GB"/>
        </w:rPr>
        <w:t xml:space="preserve"> graph and optimizing a cross-entropy–based objective function </w:t>
      </w:r>
      <w:r w:rsidR="00725D8B">
        <w:rPr>
          <w:rFonts w:ascii="Helvetica" w:hAnsi="Helvetica"/>
          <w:bCs/>
          <w:sz w:val="20"/>
          <w:szCs w:val="20"/>
          <w:lang w:val="en-GB"/>
        </w:rPr>
        <w:fldChar w:fldCharType="begin"/>
      </w:r>
      <w:r w:rsidR="00AB3A76">
        <w:rPr>
          <w:rFonts w:ascii="Helvetica" w:hAnsi="Helvetica"/>
          <w:bCs/>
          <w:sz w:val="20"/>
          <w:szCs w:val="20"/>
          <w:lang w:val="en-GB"/>
        </w:rPr>
        <w:instrText xml:space="preserve"> ADDIN ZOTERO_ITEM CSL_CITATION {"citationID":"IJGWvPNS","properties":{"unsorted":false,"formattedCitation":"[4]","plainCitation":"[4]","noteIndex":0},"citationItems":[{"id":"HaI2VY0N/QHPHRv1A","uris":["http://zotero.org/users/16884032/items/GVZD2YNN"],"itemData":{"id":599,"type":"article","abstract":"UMAP (Uniform Manifold Approximation and Projection) is a novel manifold learning technique for dimension reduction. UMAP is constructed from a theoretical framework based in Riemannian geometry and algebraic topology. The result is a practical scalable algorithm that is applicable to real world data. The UMAP algorithm is competitive with t-SNE for visualization quality, and arguably preserves more of the global structure with superior run time performance. Furthermore, UMAP has no computational restrictions on embedding dimension, making it viable as a general purpose dimension reduction technique for machine learning.","DOI":"10.48550/arXiv.1802.03426","language":"en","note":"arXiv:1802.03426 [stat]","number":"arXiv:1802.03426","publisher":"arXiv","source":"arXiv.org","title":"UMAP: Uniform Manifold Approximation and Projection for Dimension Reduction","title-short":"UMAP","URL":"http://arxiv.org/abs/1802.03426","author":[{"family":"McInnes","given":"Leland"},{"family":"Healy","given":"John"},{"family":"Melville","given":"James"}],"accessed":{"date-parts":[["2025",10,7]]},"issued":{"date-parts":[["2020",9,18]]}}}],"schema":"https://github.com/citation-style-language/schema/raw/master/csl-citation.json"} </w:instrText>
      </w:r>
      <w:r w:rsidR="00725D8B">
        <w:rPr>
          <w:rFonts w:ascii="Helvetica" w:hAnsi="Helvetica"/>
          <w:bCs/>
          <w:sz w:val="20"/>
          <w:szCs w:val="20"/>
          <w:lang w:val="en-GB"/>
        </w:rPr>
        <w:fldChar w:fldCharType="separate"/>
      </w:r>
      <w:r w:rsidR="00AB3A76" w:rsidRPr="00AB3A76">
        <w:rPr>
          <w:rFonts w:ascii="Helvetica" w:hAnsi="Helvetica" w:cs="Helvetica"/>
          <w:sz w:val="20"/>
          <w:lang w:val="en-US"/>
        </w:rPr>
        <w:t>[4]</w:t>
      </w:r>
      <w:r w:rsidR="00725D8B">
        <w:rPr>
          <w:rFonts w:ascii="Helvetica" w:hAnsi="Helvetica"/>
          <w:bCs/>
          <w:sz w:val="20"/>
          <w:szCs w:val="20"/>
          <w:lang w:val="en-GB"/>
        </w:rPr>
        <w:fldChar w:fldCharType="end"/>
      </w:r>
      <w:r w:rsidRPr="004B698D">
        <w:rPr>
          <w:rFonts w:ascii="Helvetica" w:hAnsi="Helvetica"/>
          <w:bCs/>
          <w:sz w:val="20"/>
          <w:szCs w:val="20"/>
          <w:lang w:val="en-GB"/>
        </w:rPr>
        <w:t>.</w:t>
      </w:r>
    </w:p>
    <w:p w14:paraId="63034885" w14:textId="0D306403" w:rsidR="00E83319" w:rsidRPr="00154B91" w:rsidRDefault="00154B91" w:rsidP="00B04677">
      <w:pPr>
        <w:spacing w:after="120" w:line="480" w:lineRule="auto"/>
        <w:jc w:val="both"/>
        <w:rPr>
          <w:rFonts w:ascii="Helvetica" w:hAnsi="Helvetica"/>
          <w:bCs/>
          <w:i/>
          <w:iCs/>
          <w:sz w:val="20"/>
          <w:szCs w:val="20"/>
          <w:u w:val="single"/>
          <w:lang w:val="en-US"/>
        </w:rPr>
      </w:pPr>
      <w:r w:rsidRPr="00154B91">
        <w:rPr>
          <w:rFonts w:ascii="Helvetica" w:hAnsi="Helvetica"/>
          <w:bCs/>
          <w:i/>
          <w:iCs/>
          <w:sz w:val="20"/>
          <w:szCs w:val="20"/>
          <w:u w:val="single"/>
          <w:lang w:val="en-US"/>
        </w:rPr>
        <w:t>Statistical analysis</w:t>
      </w:r>
    </w:p>
    <w:p w14:paraId="728C33E9" w14:textId="07B0791E" w:rsidR="009B60F8" w:rsidRDefault="00420D0C" w:rsidP="00B04677">
      <w:pPr>
        <w:spacing w:after="120" w:line="480" w:lineRule="auto"/>
        <w:jc w:val="both"/>
        <w:rPr>
          <w:rFonts w:ascii="Helvetica" w:hAnsi="Helvetica"/>
          <w:sz w:val="20"/>
          <w:szCs w:val="20"/>
          <w:lang w:val="en-US"/>
        </w:rPr>
      </w:pPr>
      <w:r w:rsidRPr="004B698D">
        <w:rPr>
          <w:rFonts w:ascii="Helvetica" w:hAnsi="Helvetica"/>
          <w:sz w:val="20"/>
          <w:szCs w:val="20"/>
          <w:lang w:val="en-US"/>
        </w:rPr>
        <w:t>Effect sizes were computed to complement statistical significance testing and to describe the magnitude of regional differences in model-derived XAI signals</w:t>
      </w:r>
      <w:r w:rsidR="00434F1F">
        <w:rPr>
          <w:rFonts w:ascii="Helvetica" w:hAnsi="Helvetica"/>
          <w:sz w:val="20"/>
          <w:szCs w:val="20"/>
          <w:lang w:val="en-US"/>
        </w:rPr>
        <w:t xml:space="preserve"> </w:t>
      </w:r>
      <w:r w:rsidR="00434F1F">
        <w:rPr>
          <w:rFonts w:ascii="Helvetica" w:hAnsi="Helvetica"/>
          <w:sz w:val="20"/>
          <w:szCs w:val="20"/>
          <w:lang w:val="en-US"/>
        </w:rPr>
        <w:fldChar w:fldCharType="begin"/>
      </w:r>
      <w:r w:rsidR="00F92146">
        <w:rPr>
          <w:rFonts w:ascii="Helvetica" w:hAnsi="Helvetica"/>
          <w:sz w:val="20"/>
          <w:szCs w:val="20"/>
          <w:lang w:val="en-US"/>
        </w:rPr>
        <w:instrText xml:space="preserve"> ADDIN ZOTERO_ITEM CSL_CITATION {"citationID":"WbKFJmF5","properties":{"unsorted":false,"formattedCitation":"[5]","plainCitation":"[5]","noteIndex":0},"citationItems":[{"id":2822,"uris":["http://zotero.org/groups/5169405/items/YJXRVR5X"],"itemData":{"id":2822,"type":"article-journal","abstract":"Effect sizes for nonparametric tests","container-title":"Biochemia Medica","DOI":"10.11613/BM.2026.010101","issue":"1","journalAbbreviation":"Biochem Med","language":"en","page":"5-16","publisher":"Croatian Society of Medical Biochemistry and Laboratory Medicine","source":"biochemia-medica.com","title":"Effect sizes for nonparametric tests","volume":"36","author":[{"family":"Peres","given":"Fernanda Fiel"}],"issued":{"date-parts":[["2026",2,15]]}}}],"schema":"https://github.com/citation-style-language/schema/raw/master/csl-citation.json"} </w:instrText>
      </w:r>
      <w:r w:rsidR="00434F1F">
        <w:rPr>
          <w:rFonts w:ascii="Helvetica" w:hAnsi="Helvetica"/>
          <w:sz w:val="20"/>
          <w:szCs w:val="20"/>
          <w:lang w:val="en-US"/>
        </w:rPr>
        <w:fldChar w:fldCharType="separate"/>
      </w:r>
      <w:r w:rsidR="00AB3A76" w:rsidRPr="00AB3A76">
        <w:rPr>
          <w:rFonts w:ascii="Helvetica" w:hAnsi="Helvetica" w:cs="Helvetica"/>
          <w:sz w:val="20"/>
          <w:lang w:val="en-US"/>
        </w:rPr>
        <w:t>[5]</w:t>
      </w:r>
      <w:r w:rsidR="00434F1F">
        <w:rPr>
          <w:rFonts w:ascii="Helvetica" w:hAnsi="Helvetica"/>
          <w:sz w:val="20"/>
          <w:szCs w:val="20"/>
          <w:lang w:val="en-US"/>
        </w:rPr>
        <w:fldChar w:fldCharType="end"/>
      </w:r>
      <w:r w:rsidRPr="004B698D">
        <w:rPr>
          <w:rFonts w:ascii="Helvetica" w:hAnsi="Helvetica"/>
          <w:sz w:val="20"/>
          <w:szCs w:val="20"/>
          <w:lang w:val="en-US"/>
        </w:rPr>
        <w:t>.</w:t>
      </w:r>
    </w:p>
    <w:p w14:paraId="0B6F8B4E" w14:textId="77777777" w:rsidR="00116A05" w:rsidRDefault="00420D0C" w:rsidP="00B04677">
      <w:pPr>
        <w:spacing w:after="120" w:line="480" w:lineRule="auto"/>
        <w:jc w:val="both"/>
        <w:rPr>
          <w:rFonts w:ascii="Helvetica" w:hAnsi="Helvetica"/>
          <w:sz w:val="20"/>
          <w:szCs w:val="20"/>
          <w:lang w:val="en-US"/>
        </w:rPr>
      </w:pPr>
      <w:r w:rsidRPr="004B698D">
        <w:rPr>
          <w:rFonts w:ascii="Helvetica" w:hAnsi="Helvetica"/>
          <w:sz w:val="20"/>
          <w:szCs w:val="20"/>
          <w:lang w:val="en-US"/>
        </w:rPr>
        <w:t>For Kruskal–Wallis analyses, both ordinal eta-squared and ordinal epsilon-squared estimates were reported, with epsilon-squared used as the primary omnibus effect-size summary in the regional analyses.</w:t>
      </w:r>
    </w:p>
    <w:p w14:paraId="728A7F71" w14:textId="4833EF48" w:rsidR="00977AE7" w:rsidRDefault="00420D0C" w:rsidP="00B04677">
      <w:pPr>
        <w:spacing w:after="120" w:line="480" w:lineRule="auto"/>
        <w:jc w:val="both"/>
        <w:rPr>
          <w:rFonts w:ascii="Helvetica" w:hAnsi="Helvetica"/>
          <w:sz w:val="22"/>
          <w:szCs w:val="22"/>
          <w:lang w:val="en-US"/>
        </w:rPr>
      </w:pPr>
      <w:r w:rsidRPr="004B698D">
        <w:rPr>
          <w:rFonts w:ascii="Helvetica" w:hAnsi="Helvetica"/>
          <w:sz w:val="20"/>
          <w:szCs w:val="20"/>
          <w:lang w:val="en-US"/>
        </w:rPr>
        <w:t>For pairwise Mann–Whitney U comparisons, Vargha–Delaney A, folded Vargha–Delaney A, rank-biserial correlation, and Cliff’s delta were computed. Rank-biserial correlation was used as the primary signed pairwise effect-size measure, where positive values indicate higher signal values for the first serotype in the pair and negative values indicate higher signal values for the second serotype.</w:t>
      </w:r>
    </w:p>
    <w:p w14:paraId="225E9B9F" w14:textId="77777777" w:rsidR="00A028D4" w:rsidRDefault="00A028D4">
      <w:pPr>
        <w:rPr>
          <w:rFonts w:ascii="Helvetica" w:hAnsi="Helvetica" w:cstheme="minorHAnsi"/>
          <w:b/>
          <w:sz w:val="22"/>
          <w:szCs w:val="22"/>
          <w:lang w:val="en-US"/>
        </w:rPr>
      </w:pPr>
      <w:r>
        <w:rPr>
          <w:rFonts w:ascii="Helvetica" w:hAnsi="Helvetica" w:cstheme="minorHAnsi"/>
          <w:b/>
          <w:sz w:val="22"/>
          <w:szCs w:val="22"/>
          <w:lang w:val="en-US"/>
        </w:rPr>
        <w:br w:type="page"/>
      </w:r>
    </w:p>
    <w:p w14:paraId="72960740" w14:textId="1963BD37" w:rsidR="00BE4AD8" w:rsidRDefault="006559C6" w:rsidP="00B04677">
      <w:pPr>
        <w:spacing w:before="120" w:line="480" w:lineRule="auto"/>
        <w:jc w:val="both"/>
        <w:rPr>
          <w:rFonts w:ascii="Helvetica" w:hAnsi="Helvetica" w:cstheme="minorHAnsi"/>
          <w:b/>
          <w:sz w:val="22"/>
          <w:szCs w:val="22"/>
          <w:lang w:val="en-US"/>
        </w:rPr>
      </w:pPr>
      <w:r w:rsidRPr="0026639A">
        <w:rPr>
          <w:rFonts w:ascii="Helvetica" w:hAnsi="Helvetica" w:cstheme="minorHAnsi"/>
          <w:b/>
          <w:sz w:val="22"/>
          <w:szCs w:val="22"/>
          <w:lang w:val="en-US"/>
        </w:rPr>
        <w:t>Supplementary Results</w:t>
      </w:r>
    </w:p>
    <w:p w14:paraId="07EB9132" w14:textId="3DE0D887" w:rsidR="00524529" w:rsidRPr="00C52DB0" w:rsidRDefault="00524529" w:rsidP="00524529">
      <w:pPr>
        <w:spacing w:after="120" w:line="480" w:lineRule="auto"/>
        <w:jc w:val="both"/>
        <w:rPr>
          <w:rFonts w:ascii="Helvetica" w:hAnsi="Helvetica"/>
          <w:bCs/>
          <w:i/>
          <w:iCs/>
          <w:sz w:val="20"/>
          <w:szCs w:val="20"/>
          <w:u w:val="single"/>
          <w:lang w:val="en-GB"/>
        </w:rPr>
      </w:pPr>
      <w:r w:rsidRPr="00C52DB0">
        <w:rPr>
          <w:rFonts w:ascii="Helvetica" w:hAnsi="Helvetica"/>
          <w:bCs/>
          <w:i/>
          <w:iCs/>
          <w:sz w:val="20"/>
          <w:szCs w:val="20"/>
          <w:u w:val="single"/>
          <w:lang w:val="en-GB"/>
        </w:rPr>
        <w:t>CD-HIT clustering and MSA</w:t>
      </w:r>
    </w:p>
    <w:p w14:paraId="1C0FCD12" w14:textId="592AFDD9" w:rsidR="00524529" w:rsidRDefault="00693483" w:rsidP="00524529">
      <w:pPr>
        <w:spacing w:after="120" w:line="480" w:lineRule="auto"/>
        <w:jc w:val="both"/>
        <w:rPr>
          <w:rFonts w:ascii="Helvetica" w:hAnsi="Helvetica"/>
          <w:bCs/>
          <w:sz w:val="20"/>
          <w:szCs w:val="20"/>
          <w:lang w:val="en-US"/>
        </w:rPr>
      </w:pPr>
      <w:r w:rsidRPr="00693483">
        <w:rPr>
          <w:rFonts w:ascii="Helvetica" w:hAnsi="Helvetica"/>
          <w:bCs/>
          <w:sz w:val="20"/>
          <w:szCs w:val="20"/>
          <w:lang w:val="en-US"/>
        </w:rPr>
        <w:t>Figure S1 reports the multiple sequence alignment-based regional variability analysis performed after CD-HIT-EST sequence reduction. The analysis summarizes two complementary sequence-level measures across annotated DENV genomic regions: normalized within-serotype entropy and serotype-vs-others divergence based on Jensen–Shannon divergence. The entropy analysis showed that within-serotype nucleotide variability was not uniform along the genome, with higher values observed particularly in prM and NS4B, and intermediate values in regions such as E and NS2B. DENV4 generally showed higher entropy in several regions, including prM, E, NS1, NS2B, NS4B, and NS5, suggesting greater intra-serotype variability in these genomic segments</w:t>
      </w:r>
      <w:r w:rsidR="000173C2" w:rsidRPr="000173C2">
        <w:rPr>
          <w:rFonts w:ascii="Helvetica" w:hAnsi="Helvetica"/>
          <w:bCs/>
          <w:sz w:val="20"/>
          <w:szCs w:val="20"/>
          <w:lang w:val="en-US"/>
        </w:rPr>
        <w:t>.</w:t>
      </w:r>
    </w:p>
    <w:p w14:paraId="7D5F02F8" w14:textId="5D91F20B" w:rsidR="00F54972" w:rsidRPr="00F54972" w:rsidRDefault="00F54972" w:rsidP="00524529">
      <w:pPr>
        <w:spacing w:after="120" w:line="480" w:lineRule="auto"/>
        <w:jc w:val="both"/>
        <w:rPr>
          <w:rFonts w:ascii="Helvetica" w:hAnsi="Helvetica"/>
          <w:bCs/>
          <w:sz w:val="20"/>
          <w:szCs w:val="20"/>
          <w:lang w:val="en-US"/>
        </w:rPr>
      </w:pPr>
      <w:r w:rsidRPr="00F54972">
        <w:rPr>
          <w:rFonts w:ascii="Helvetica" w:hAnsi="Helvetica"/>
          <w:bCs/>
          <w:sz w:val="20"/>
          <w:szCs w:val="20"/>
          <w:lang w:val="en-US"/>
        </w:rPr>
        <w:t>The serotype-vs-others divergence analysis showed a partially distinct pattern. The strongest serotype-specific separation was observed in prM, NS4B, NS2B, 5′UTR, and 3′UTR, whereas the C region showed consistently low divergence across serotypes. Some regions showed serotype-specific differences in divergence, such as higher 5′UTR divergence for DENV3 and lower 3′UTR divergence for DENV3 compared with the other serotypes. Together, these results indicate that regional sequence variability and serotype-specific nucleotide separation are unevenly distributed across the DENV genome. This provides an independent alignment-based context for interpreting the regional model-derived XAI patterns.</w:t>
      </w:r>
    </w:p>
    <w:p w14:paraId="3F5D8C42" w14:textId="700DEC20" w:rsidR="00917C1E" w:rsidRPr="004230C4" w:rsidRDefault="00CE3C71" w:rsidP="00917C1E">
      <w:pPr>
        <w:spacing w:after="120" w:line="480" w:lineRule="auto"/>
        <w:jc w:val="both"/>
        <w:rPr>
          <w:rFonts w:ascii="Helvetica" w:hAnsi="Helvetica" w:cs="Helvetica"/>
          <w:i/>
          <w:iCs/>
          <w:sz w:val="20"/>
          <w:szCs w:val="20"/>
          <w:u w:val="single"/>
          <w:lang w:val="en-US" w:eastAsia="en-US"/>
        </w:rPr>
      </w:pPr>
      <w:r w:rsidRPr="004230C4">
        <w:rPr>
          <w:rFonts w:ascii="Helvetica" w:hAnsi="Helvetica" w:cs="Helvetica"/>
          <w:i/>
          <w:iCs/>
          <w:sz w:val="20"/>
          <w:szCs w:val="20"/>
          <w:u w:val="single"/>
          <w:lang w:val="en-US" w:eastAsia="en-US"/>
        </w:rPr>
        <w:t xml:space="preserve">Classification </w:t>
      </w:r>
      <w:r w:rsidR="006A781C">
        <w:rPr>
          <w:rFonts w:ascii="Helvetica" w:hAnsi="Helvetica" w:cs="Helvetica"/>
          <w:i/>
          <w:iCs/>
          <w:sz w:val="20"/>
          <w:szCs w:val="20"/>
          <w:u w:val="single"/>
          <w:lang w:val="en-US" w:eastAsia="en-US"/>
        </w:rPr>
        <w:t>c</w:t>
      </w:r>
      <w:r w:rsidRPr="004230C4">
        <w:rPr>
          <w:rFonts w:ascii="Helvetica" w:hAnsi="Helvetica" w:cs="Helvetica"/>
          <w:i/>
          <w:iCs/>
          <w:sz w:val="20"/>
          <w:szCs w:val="20"/>
          <w:u w:val="single"/>
          <w:lang w:val="en-US" w:eastAsia="en-US"/>
        </w:rPr>
        <w:t xml:space="preserve">onfusion </w:t>
      </w:r>
      <w:r w:rsidR="006A781C">
        <w:rPr>
          <w:rFonts w:ascii="Helvetica" w:hAnsi="Helvetica" w:cs="Helvetica"/>
          <w:i/>
          <w:iCs/>
          <w:sz w:val="20"/>
          <w:szCs w:val="20"/>
          <w:u w:val="single"/>
          <w:lang w:val="en-US" w:eastAsia="en-US"/>
        </w:rPr>
        <w:t>m</w:t>
      </w:r>
      <w:r w:rsidRPr="004230C4">
        <w:rPr>
          <w:rFonts w:ascii="Helvetica" w:hAnsi="Helvetica" w:cs="Helvetica"/>
          <w:i/>
          <w:iCs/>
          <w:sz w:val="20"/>
          <w:szCs w:val="20"/>
          <w:u w:val="single"/>
          <w:lang w:val="en-US" w:eastAsia="en-US"/>
        </w:rPr>
        <w:t>atrices</w:t>
      </w:r>
    </w:p>
    <w:p w14:paraId="21633102" w14:textId="06567454" w:rsidR="00C52CA7" w:rsidRDefault="000D0148" w:rsidP="00B04677">
      <w:pPr>
        <w:spacing w:before="120" w:line="480" w:lineRule="auto"/>
        <w:jc w:val="both"/>
        <w:rPr>
          <w:rFonts w:ascii="Helvetica" w:hAnsi="Helvetica" w:cstheme="minorHAnsi"/>
          <w:bCs/>
          <w:sz w:val="20"/>
          <w:szCs w:val="20"/>
          <w:lang w:val="en-US"/>
        </w:rPr>
      </w:pPr>
      <w:r w:rsidRPr="000D0148">
        <w:rPr>
          <w:rFonts w:ascii="Helvetica" w:hAnsi="Helvetica" w:cstheme="minorHAnsi"/>
          <w:bCs/>
          <w:sz w:val="20"/>
          <w:szCs w:val="20"/>
          <w:lang w:val="en-US"/>
        </w:rPr>
        <w:t xml:space="preserve">Figure S2 reports the confusion matrices obtained with DENFormer-mean across geographical, temporal, and CD-HIT cluster-aware validation settings. Across most held-out subsets, predictions were strongly concentrated along the diagonal, indicating that </w:t>
      </w:r>
      <w:proofErr w:type="gramStart"/>
      <w:r w:rsidRPr="000D0148">
        <w:rPr>
          <w:rFonts w:ascii="Helvetica" w:hAnsi="Helvetica" w:cstheme="minorHAnsi"/>
          <w:bCs/>
          <w:sz w:val="20"/>
          <w:szCs w:val="20"/>
          <w:lang w:val="en-US"/>
        </w:rPr>
        <w:t>the majority of</w:t>
      </w:r>
      <w:proofErr w:type="gramEnd"/>
      <w:r w:rsidRPr="000D0148">
        <w:rPr>
          <w:rFonts w:ascii="Helvetica" w:hAnsi="Helvetica" w:cstheme="minorHAnsi"/>
          <w:bCs/>
          <w:sz w:val="20"/>
          <w:szCs w:val="20"/>
          <w:lang w:val="en-US"/>
        </w:rPr>
        <w:t xml:space="preserve"> genomes were assigned to the correct serotype. This pattern was particularly evident in several CD-HIT cluster-aware folds and in smaller geographical subsets such as Europe and Oceania, where only limited off-diagonal entries were observed</w:t>
      </w:r>
      <w:r w:rsidR="004230C4" w:rsidRPr="004230C4">
        <w:rPr>
          <w:rFonts w:ascii="Helvetica" w:hAnsi="Helvetica" w:cstheme="minorHAnsi"/>
          <w:bCs/>
          <w:sz w:val="20"/>
          <w:szCs w:val="20"/>
          <w:lang w:val="en-US"/>
        </w:rPr>
        <w:t>.</w:t>
      </w:r>
    </w:p>
    <w:p w14:paraId="2B6F937D" w14:textId="65A5E982" w:rsidR="00917C1E" w:rsidRDefault="004A43A0" w:rsidP="00B04677">
      <w:pPr>
        <w:spacing w:before="120" w:line="480" w:lineRule="auto"/>
        <w:jc w:val="both"/>
        <w:rPr>
          <w:rFonts w:ascii="Helvetica" w:hAnsi="Helvetica" w:cstheme="minorHAnsi"/>
          <w:bCs/>
          <w:sz w:val="20"/>
          <w:szCs w:val="20"/>
          <w:lang w:val="en-US"/>
        </w:rPr>
      </w:pPr>
      <w:r w:rsidRPr="004A43A0">
        <w:rPr>
          <w:rFonts w:ascii="Helvetica" w:hAnsi="Helvetica" w:cstheme="minorHAnsi"/>
          <w:bCs/>
          <w:sz w:val="20"/>
          <w:szCs w:val="20"/>
          <w:lang w:val="en-US"/>
        </w:rPr>
        <w:t xml:space="preserve">Residual misclassifications were more visible in specific held-out partitions, particularly in the South America geographical subset and in the 2021–2025 temporal subset. In these cases, off-diagonal entries mainly involved confusion among DENV1, DENV2, and DENV3, while DENV4 was generally classified with fewer errors across most partitions. Overall, the confusion matrices confirm that DENFormer-mean maintained strong class-wise discrimination under the </w:t>
      </w:r>
      <w:r w:rsidR="00B7465F">
        <w:rPr>
          <w:rFonts w:ascii="Helvetica" w:hAnsi="Helvetica" w:cstheme="minorHAnsi"/>
          <w:bCs/>
          <w:sz w:val="20"/>
          <w:szCs w:val="20"/>
          <w:lang w:val="en-US"/>
        </w:rPr>
        <w:t>three</w:t>
      </w:r>
      <w:r w:rsidRPr="004A43A0">
        <w:rPr>
          <w:rFonts w:ascii="Helvetica" w:hAnsi="Helvetica" w:cstheme="minorHAnsi"/>
          <w:bCs/>
          <w:sz w:val="20"/>
          <w:szCs w:val="20"/>
          <w:lang w:val="en-US"/>
        </w:rPr>
        <w:t xml:space="preserve"> validation protocols, while also showing that the remaining errors were concentrated in specific geographical or temporal subsets rather than uniformly distributed across all partitions</w:t>
      </w:r>
      <w:r w:rsidR="004230C4" w:rsidRPr="004230C4">
        <w:rPr>
          <w:rFonts w:ascii="Helvetica" w:hAnsi="Helvetica" w:cstheme="minorHAnsi"/>
          <w:bCs/>
          <w:sz w:val="20"/>
          <w:szCs w:val="20"/>
          <w:lang w:val="en-US"/>
        </w:rPr>
        <w:t>.</w:t>
      </w:r>
    </w:p>
    <w:p w14:paraId="507BC108" w14:textId="77777777" w:rsidR="009916B6" w:rsidRPr="009916B6" w:rsidRDefault="009916B6" w:rsidP="009916B6">
      <w:pPr>
        <w:spacing w:before="120" w:line="480" w:lineRule="auto"/>
        <w:jc w:val="both"/>
        <w:rPr>
          <w:rFonts w:ascii="Helvetica" w:hAnsi="Helvetica" w:cstheme="minorHAnsi"/>
          <w:bCs/>
          <w:i/>
          <w:iCs/>
          <w:sz w:val="20"/>
          <w:szCs w:val="20"/>
          <w:u w:val="single"/>
          <w:lang w:val="en-US"/>
        </w:rPr>
      </w:pPr>
      <w:r w:rsidRPr="009916B6">
        <w:rPr>
          <w:rFonts w:ascii="Helvetica" w:hAnsi="Helvetica" w:cstheme="minorHAnsi"/>
          <w:bCs/>
          <w:i/>
          <w:iCs/>
          <w:sz w:val="20"/>
          <w:szCs w:val="20"/>
          <w:u w:val="single"/>
          <w:lang w:val="en-US"/>
        </w:rPr>
        <w:t>Sequence-level baseline analysis</w:t>
      </w:r>
    </w:p>
    <w:p w14:paraId="377626A2" w14:textId="764B8015" w:rsidR="00022EBF" w:rsidRDefault="00806A35" w:rsidP="009B60F8">
      <w:pPr>
        <w:spacing w:before="120" w:line="480" w:lineRule="auto"/>
        <w:jc w:val="both"/>
        <w:rPr>
          <w:rFonts w:ascii="Helvetica" w:hAnsi="Helvetica" w:cstheme="minorHAnsi"/>
          <w:bCs/>
          <w:sz w:val="20"/>
          <w:szCs w:val="20"/>
          <w:lang w:val="en-US"/>
        </w:rPr>
      </w:pPr>
      <w:r w:rsidRPr="00806A35">
        <w:rPr>
          <w:rFonts w:ascii="Helvetica" w:hAnsi="Helvetica" w:cstheme="minorHAnsi"/>
          <w:bCs/>
          <w:sz w:val="20"/>
          <w:szCs w:val="20"/>
          <w:lang w:val="en-US"/>
        </w:rPr>
        <w:t xml:space="preserve">Complete results are reported in Supplementary Table S1. For sequence length, balanced accuracy ranged from 19.9% to 24.4% and macro-F1 from 16.4% to 21.3% across the three validation protocols. For N fraction, balanced accuracy ranged from 21.8% to 22.9% and macro-F1 from 16.6% to 20.4%. </w:t>
      </w:r>
      <w:r w:rsidRPr="00B7465F">
        <w:rPr>
          <w:rFonts w:ascii="Helvetica" w:hAnsi="Helvetica" w:cstheme="minorHAnsi"/>
          <w:bCs/>
          <w:sz w:val="20"/>
          <w:szCs w:val="20"/>
          <w:lang w:val="en-US"/>
        </w:rPr>
        <w:t>GC fraction was more informative, although balanced accuracy remained approximately 70% and macro-F1 approximately 67%, indicating uneven discrimination among serotypes. Adding sequence length and/or N fraction to GC fraction did not consistently improve performance, while the additional IUPAC, gap, and other non-ACGT fractions produced negligible changes in the linear classifier. The nonlinear classifier based on the complete sequence-quality feature set achieved macro-F1 values of 74.7%, 83.6%, and 81.8% under geographical, temporal, and CD-HIT cluster-aware validation, respectively</w:t>
      </w:r>
      <w:r w:rsidR="009916B6" w:rsidRPr="009916B6">
        <w:rPr>
          <w:rFonts w:ascii="Helvetica" w:hAnsi="Helvetica" w:cstheme="minorHAnsi"/>
          <w:bCs/>
          <w:sz w:val="20"/>
          <w:szCs w:val="20"/>
          <w:lang w:val="en-US"/>
        </w:rPr>
        <w:t>.</w:t>
      </w:r>
    </w:p>
    <w:p w14:paraId="02544753" w14:textId="1CE6BBD7" w:rsidR="00F254AE" w:rsidRPr="00F254AE" w:rsidRDefault="00F254AE" w:rsidP="00F254AE">
      <w:pPr>
        <w:spacing w:before="120" w:line="480" w:lineRule="auto"/>
        <w:jc w:val="both"/>
        <w:rPr>
          <w:rFonts w:ascii="Helvetica" w:hAnsi="Helvetica" w:cstheme="minorHAnsi"/>
          <w:bCs/>
          <w:i/>
          <w:iCs/>
          <w:sz w:val="20"/>
          <w:szCs w:val="20"/>
          <w:u w:val="single"/>
          <w:lang w:val="en-US"/>
        </w:rPr>
      </w:pPr>
      <w:r w:rsidRPr="00F254AE">
        <w:rPr>
          <w:rFonts w:ascii="Helvetica" w:hAnsi="Helvetica" w:cstheme="minorHAnsi"/>
          <w:bCs/>
          <w:i/>
          <w:iCs/>
          <w:sz w:val="20"/>
          <w:szCs w:val="20"/>
          <w:u w:val="single"/>
          <w:lang w:val="en-US"/>
        </w:rPr>
        <w:t>Statistical comparison of model performance</w:t>
      </w:r>
    </w:p>
    <w:p w14:paraId="1882DD2D" w14:textId="14BF679F" w:rsidR="00F254AE" w:rsidRDefault="00E35EB9" w:rsidP="00F254AE">
      <w:pPr>
        <w:spacing w:before="120" w:line="480" w:lineRule="auto"/>
        <w:jc w:val="both"/>
        <w:rPr>
          <w:rFonts w:ascii="Helvetica" w:hAnsi="Helvetica" w:cstheme="minorHAnsi"/>
          <w:bCs/>
          <w:sz w:val="20"/>
          <w:szCs w:val="20"/>
          <w:lang w:val="en-US"/>
        </w:rPr>
      </w:pPr>
      <w:r w:rsidRPr="00E35EB9">
        <w:rPr>
          <w:rFonts w:ascii="Helvetica" w:hAnsi="Helvetica" w:cstheme="minorHAnsi"/>
          <w:bCs/>
          <w:sz w:val="20"/>
          <w:szCs w:val="20"/>
          <w:lang w:val="en-US"/>
        </w:rPr>
        <w:t>The primary accuracy comparisons and pooling-ablation results are reported in the main manuscript. Complete numerical results, including cluster-bootstrap confidence intervals, Holm-adjusted permutation p-values, exact McNemar sensitivity analyses, and macro-F1 and per-serotype F1 comparisons, are provided in Supplementary File S3</w:t>
      </w:r>
      <w:r w:rsidR="00F254AE" w:rsidRPr="00F254AE">
        <w:rPr>
          <w:rFonts w:ascii="Helvetica" w:hAnsi="Helvetica" w:cstheme="minorHAnsi"/>
          <w:bCs/>
          <w:sz w:val="20"/>
          <w:szCs w:val="20"/>
          <w:lang w:val="en-US"/>
        </w:rPr>
        <w:t>.</w:t>
      </w:r>
    </w:p>
    <w:p w14:paraId="7CEC5B6F" w14:textId="77777777" w:rsidR="00F21754" w:rsidRPr="00F21754" w:rsidRDefault="00F21754" w:rsidP="00F21754">
      <w:pPr>
        <w:spacing w:before="120" w:line="480" w:lineRule="auto"/>
        <w:jc w:val="both"/>
        <w:rPr>
          <w:rFonts w:ascii="Helvetica" w:hAnsi="Helvetica" w:cstheme="minorHAnsi"/>
          <w:i/>
          <w:iCs/>
          <w:sz w:val="20"/>
          <w:szCs w:val="20"/>
          <w:u w:val="single"/>
          <w:lang w:val="en-US"/>
        </w:rPr>
      </w:pPr>
      <w:r w:rsidRPr="00F21754">
        <w:rPr>
          <w:rFonts w:ascii="Helvetica" w:hAnsi="Helvetica" w:cstheme="minorHAnsi"/>
          <w:i/>
          <w:iCs/>
          <w:sz w:val="20"/>
          <w:szCs w:val="20"/>
          <w:u w:val="single"/>
          <w:lang w:val="en-US"/>
        </w:rPr>
        <w:t>Computational efficiency</w:t>
      </w:r>
    </w:p>
    <w:p w14:paraId="6C9774CD" w14:textId="2F677616" w:rsidR="00F21754" w:rsidRPr="004230C4" w:rsidRDefault="003516B6" w:rsidP="00B04677">
      <w:pPr>
        <w:spacing w:before="120" w:line="480" w:lineRule="auto"/>
        <w:jc w:val="both"/>
        <w:rPr>
          <w:rFonts w:ascii="Helvetica" w:hAnsi="Helvetica" w:cstheme="minorHAnsi"/>
          <w:bCs/>
          <w:sz w:val="20"/>
          <w:szCs w:val="20"/>
          <w:lang w:val="en-US"/>
        </w:rPr>
      </w:pPr>
      <w:r w:rsidRPr="003516B6">
        <w:rPr>
          <w:rFonts w:ascii="Helvetica" w:hAnsi="Helvetica" w:cstheme="minorHAnsi"/>
          <w:bCs/>
          <w:sz w:val="20"/>
          <w:szCs w:val="20"/>
          <w:lang w:val="en-US"/>
        </w:rPr>
        <w:t>The controlled benchmark confirmed substantial computational differences among the evaluated architectures, with complete absolute measurements reported in Supplementary Table S2 and the principal comparisons summarized in the main manuscript. Relative to Performer and Longformer, DENFormer-mean reduced training time by 16.5% and 75.5%, respectively, while peak training memory was reduced by 63.9% and 79.5%. During inference, DENFormer-mean achieved 1.21-fold and 2.20-fold higher throughput than Performer and Longformer, respectively, while reducing peak inference memory by approximately 95% and 97%. DENFormer-max achieved the highest inference throughput among the Transformer models, whereas DENFormer-mean was retained as the reference configuration for the principal comparative and XAI analyses</w:t>
      </w:r>
      <w:r w:rsidR="00F21754" w:rsidRPr="00F21754">
        <w:rPr>
          <w:rFonts w:ascii="Helvetica" w:hAnsi="Helvetica" w:cstheme="minorHAnsi"/>
          <w:bCs/>
          <w:sz w:val="20"/>
          <w:szCs w:val="20"/>
          <w:lang w:val="en-US"/>
        </w:rPr>
        <w:t>.</w:t>
      </w:r>
    </w:p>
    <w:p w14:paraId="08814806" w14:textId="3A05262B" w:rsidR="006E7608" w:rsidRPr="004230C4" w:rsidRDefault="00BE4AD8" w:rsidP="006B79E4">
      <w:pPr>
        <w:spacing w:after="120" w:line="480" w:lineRule="auto"/>
        <w:jc w:val="both"/>
        <w:rPr>
          <w:rFonts w:ascii="Helvetica" w:hAnsi="Helvetica" w:cs="Helvetica"/>
          <w:i/>
          <w:iCs/>
          <w:sz w:val="20"/>
          <w:szCs w:val="20"/>
          <w:u w:val="single"/>
          <w:lang w:val="en-US" w:eastAsia="en-US"/>
        </w:rPr>
      </w:pPr>
      <w:r w:rsidRPr="004230C4">
        <w:rPr>
          <w:rFonts w:ascii="Helvetica" w:hAnsi="Helvetica" w:cs="Helvetica"/>
          <w:i/>
          <w:iCs/>
          <w:sz w:val="20"/>
          <w:szCs w:val="20"/>
          <w:u w:val="single"/>
          <w:lang w:val="en-US" w:eastAsia="en-US"/>
        </w:rPr>
        <w:t>Mathematical XAI</w:t>
      </w:r>
    </w:p>
    <w:p w14:paraId="5ECF3AC1" w14:textId="77777777" w:rsidR="00625BBE" w:rsidRDefault="006B79E4" w:rsidP="006B79E4">
      <w:pPr>
        <w:spacing w:after="120" w:line="480" w:lineRule="auto"/>
        <w:jc w:val="both"/>
        <w:rPr>
          <w:rFonts w:ascii="Helvetica" w:hAnsi="Helvetica" w:cs="Helvetica"/>
          <w:sz w:val="20"/>
          <w:szCs w:val="20"/>
          <w:lang w:val="en-US" w:eastAsia="en-US"/>
        </w:rPr>
      </w:pPr>
      <w:r w:rsidRPr="006B79E4">
        <w:rPr>
          <w:rFonts w:ascii="Helvetica" w:hAnsi="Helvetica" w:cs="Helvetica"/>
          <w:sz w:val="20"/>
          <w:szCs w:val="20"/>
          <w:lang w:val="en-US" w:eastAsia="en-US"/>
        </w:rPr>
        <w:t xml:space="preserve">The PCA and UMAP projections, reported in </w:t>
      </w:r>
      <w:r w:rsidR="00425DC7">
        <w:rPr>
          <w:rFonts w:ascii="Helvetica" w:hAnsi="Helvetica" w:cs="Helvetica"/>
          <w:sz w:val="20"/>
          <w:szCs w:val="20"/>
          <w:lang w:val="en-US" w:eastAsia="en-US"/>
        </w:rPr>
        <w:t>Figure</w:t>
      </w:r>
      <w:r w:rsidR="002C1F2F">
        <w:rPr>
          <w:rFonts w:ascii="Helvetica" w:hAnsi="Helvetica" w:cs="Helvetica"/>
          <w:sz w:val="20"/>
          <w:szCs w:val="20"/>
          <w:lang w:val="en-US" w:eastAsia="en-US"/>
        </w:rPr>
        <w:t>s</w:t>
      </w:r>
      <w:r w:rsidR="00425DC7">
        <w:rPr>
          <w:rFonts w:ascii="Helvetica" w:hAnsi="Helvetica" w:cs="Helvetica"/>
          <w:sz w:val="20"/>
          <w:szCs w:val="20"/>
          <w:lang w:val="en-US" w:eastAsia="en-US"/>
        </w:rPr>
        <w:t xml:space="preserve"> </w:t>
      </w:r>
      <w:r w:rsidRPr="006B79E4">
        <w:rPr>
          <w:rFonts w:ascii="Helvetica" w:hAnsi="Helvetica" w:cs="Helvetica"/>
          <w:sz w:val="20"/>
          <w:szCs w:val="20"/>
          <w:lang w:val="en-US" w:eastAsia="en-US"/>
        </w:rPr>
        <w:t>S</w:t>
      </w:r>
      <w:r w:rsidR="00F02B68">
        <w:rPr>
          <w:rFonts w:ascii="Helvetica" w:hAnsi="Helvetica" w:cs="Helvetica"/>
          <w:sz w:val="20"/>
          <w:szCs w:val="20"/>
          <w:lang w:val="en-US" w:eastAsia="en-US"/>
        </w:rPr>
        <w:t>3</w:t>
      </w:r>
      <w:r w:rsidRPr="006B79E4">
        <w:rPr>
          <w:rFonts w:ascii="Helvetica" w:hAnsi="Helvetica" w:cs="Helvetica"/>
          <w:sz w:val="20"/>
          <w:szCs w:val="20"/>
          <w:lang w:val="en-US" w:eastAsia="en-US"/>
        </w:rPr>
        <w:t xml:space="preserve"> and S</w:t>
      </w:r>
      <w:r w:rsidR="00F02B68">
        <w:rPr>
          <w:rFonts w:ascii="Helvetica" w:hAnsi="Helvetica" w:cs="Helvetica"/>
          <w:sz w:val="20"/>
          <w:szCs w:val="20"/>
          <w:lang w:val="en-US" w:eastAsia="en-US"/>
        </w:rPr>
        <w:t>4</w:t>
      </w:r>
      <w:r w:rsidRPr="006B79E4">
        <w:rPr>
          <w:rFonts w:ascii="Helvetica" w:hAnsi="Helvetica" w:cs="Helvetica"/>
          <w:sz w:val="20"/>
          <w:szCs w:val="20"/>
          <w:lang w:val="en-US" w:eastAsia="en-US"/>
        </w:rPr>
        <w:t>, provide complementary views of the same embedding space. PCA provides a linear projection of the embeddings and showed broad serotype-associated separation across several validation subsets, although with partial overlap in some partitions. UMAP provides a nonlinear representation and generally preserved compact local groupings of genomes belonging to the same serotype, with variable inter-cluster distances across validation settings.</w:t>
      </w:r>
    </w:p>
    <w:p w14:paraId="094A0CF9" w14:textId="6F665CD4" w:rsidR="001E3862" w:rsidRPr="006B79E4" w:rsidRDefault="007C26C5" w:rsidP="006B79E4">
      <w:pPr>
        <w:spacing w:after="120" w:line="480" w:lineRule="auto"/>
        <w:jc w:val="both"/>
        <w:rPr>
          <w:rFonts w:ascii="Helvetica" w:hAnsi="Helvetica" w:cs="Helvetica"/>
          <w:sz w:val="20"/>
          <w:szCs w:val="20"/>
          <w:lang w:val="en-US" w:eastAsia="en-US"/>
        </w:rPr>
      </w:pPr>
      <w:r w:rsidRPr="007C26C5">
        <w:rPr>
          <w:rFonts w:ascii="Helvetica" w:hAnsi="Helvetica" w:cs="Helvetica"/>
          <w:sz w:val="20"/>
          <w:szCs w:val="20"/>
          <w:lang w:val="en-US" w:eastAsia="en-US"/>
        </w:rPr>
        <w:t>Across t-SNE, PCA, and UMAP, the held-out embeddings showed broadly consistent serotype-associated organization across geographical, temporal, and CD-HIT cluster-aware evaluations</w:t>
      </w:r>
      <w:r w:rsidR="006B79E4" w:rsidRPr="006B79E4">
        <w:rPr>
          <w:rFonts w:ascii="Helvetica" w:hAnsi="Helvetica" w:cs="Helvetica"/>
          <w:sz w:val="20"/>
          <w:szCs w:val="20"/>
          <w:lang w:val="en-US" w:eastAsia="en-US"/>
        </w:rPr>
        <w:t>.</w:t>
      </w:r>
    </w:p>
    <w:p w14:paraId="59CEDC51" w14:textId="3A0033DD" w:rsidR="006E7608" w:rsidRPr="001E3862" w:rsidRDefault="001E3862" w:rsidP="00C05EF0">
      <w:pPr>
        <w:spacing w:before="120" w:line="480" w:lineRule="auto"/>
        <w:jc w:val="both"/>
        <w:rPr>
          <w:rFonts w:ascii="Helvetica" w:hAnsi="Helvetica" w:cstheme="minorHAnsi"/>
          <w:bCs/>
          <w:i/>
          <w:iCs/>
          <w:sz w:val="20"/>
          <w:szCs w:val="20"/>
          <w:u w:val="single"/>
          <w:lang w:val="en-US"/>
        </w:rPr>
      </w:pPr>
      <w:r w:rsidRPr="001E3862">
        <w:rPr>
          <w:rFonts w:ascii="Helvetica" w:hAnsi="Helvetica" w:cstheme="minorHAnsi"/>
          <w:bCs/>
          <w:i/>
          <w:iCs/>
          <w:sz w:val="20"/>
          <w:szCs w:val="20"/>
          <w:u w:val="single"/>
          <w:lang w:val="en-US"/>
        </w:rPr>
        <w:t>Perceptive XAI</w:t>
      </w:r>
    </w:p>
    <w:p w14:paraId="4D58C84A" w14:textId="028CBF45" w:rsidR="00837C69" w:rsidRPr="00837C69" w:rsidRDefault="00837C69" w:rsidP="00C05EF0">
      <w:pPr>
        <w:spacing w:before="120" w:line="480" w:lineRule="auto"/>
        <w:jc w:val="both"/>
        <w:rPr>
          <w:rFonts w:ascii="Helvetica" w:hAnsi="Helvetica" w:cstheme="minorHAnsi"/>
          <w:bCs/>
          <w:sz w:val="20"/>
          <w:szCs w:val="20"/>
          <w:lang w:val="en-GB"/>
        </w:rPr>
      </w:pPr>
      <w:r w:rsidRPr="00837C69">
        <w:rPr>
          <w:rFonts w:ascii="Helvetica" w:hAnsi="Helvetica" w:cstheme="minorHAnsi"/>
          <w:bCs/>
          <w:sz w:val="20"/>
          <w:szCs w:val="20"/>
          <w:lang w:val="en-GB"/>
        </w:rPr>
        <w:t>The G×I regional analysis, reported in Figure S</w:t>
      </w:r>
      <w:r w:rsidR="00F02B68">
        <w:rPr>
          <w:rFonts w:ascii="Helvetica" w:hAnsi="Helvetica" w:cstheme="minorHAnsi"/>
          <w:bCs/>
          <w:sz w:val="20"/>
          <w:szCs w:val="20"/>
          <w:lang w:val="en-GB"/>
        </w:rPr>
        <w:t>5</w:t>
      </w:r>
      <w:r w:rsidRPr="00837C69">
        <w:rPr>
          <w:rFonts w:ascii="Helvetica" w:hAnsi="Helvetica" w:cstheme="minorHAnsi"/>
          <w:bCs/>
          <w:sz w:val="20"/>
          <w:szCs w:val="20"/>
          <w:lang w:val="en-GB"/>
        </w:rPr>
        <w:t>, showed a stronger and more localized attribution pattern. As observed for attention, all 13 genomic regions passed the Kruskal–</w:t>
      </w:r>
      <w:proofErr w:type="gramStart"/>
      <w:r w:rsidRPr="00837C69">
        <w:rPr>
          <w:rFonts w:ascii="Helvetica" w:hAnsi="Helvetica" w:cstheme="minorHAnsi"/>
          <w:bCs/>
          <w:sz w:val="20"/>
          <w:szCs w:val="20"/>
          <w:lang w:val="en-GB"/>
        </w:rPr>
        <w:t>Wallis</w:t>
      </w:r>
      <w:proofErr w:type="gramEnd"/>
      <w:r w:rsidRPr="00837C69">
        <w:rPr>
          <w:rFonts w:ascii="Helvetica" w:hAnsi="Helvetica" w:cstheme="minorHAnsi"/>
          <w:bCs/>
          <w:sz w:val="20"/>
          <w:szCs w:val="20"/>
          <w:lang w:val="en-GB"/>
        </w:rPr>
        <w:t xml:space="preserve"> consensus criterion. Pairwise testing identified consensus-significant differences in 67 of 78 serotype-region comparisons. Regions showing significant differences for all six pairwise comparisons included C, NS1, NS2B, NS4A, NS4B, and 3′UTR, while E, NS2A, NS5, and 2K showed significant differences in five of six comparisons. G×I also produced larger and more consistent effect sizes than attention, with the strongest Kruskal–Wallis effects observed for NS4A, E, NS1, NS2B, prM, 2K, and NS4B.</w:t>
      </w:r>
    </w:p>
    <w:p w14:paraId="027F8248" w14:textId="3C635B70" w:rsidR="006B79E4" w:rsidRPr="006E7608" w:rsidRDefault="006E7608" w:rsidP="00C05EF0">
      <w:pPr>
        <w:spacing w:before="120" w:line="480" w:lineRule="auto"/>
        <w:jc w:val="both"/>
        <w:rPr>
          <w:rFonts w:ascii="Helvetica" w:hAnsi="Helvetica" w:cstheme="minorHAnsi"/>
          <w:bCs/>
          <w:sz w:val="20"/>
          <w:szCs w:val="20"/>
          <w:lang w:val="en-US"/>
        </w:rPr>
      </w:pPr>
      <w:r w:rsidRPr="006E7608">
        <w:rPr>
          <w:rFonts w:ascii="Helvetica" w:hAnsi="Helvetica" w:cstheme="minorHAnsi"/>
          <w:bCs/>
          <w:sz w:val="20"/>
          <w:szCs w:val="20"/>
          <w:lang w:val="en-US"/>
        </w:rPr>
        <w:t xml:space="preserve">For Transformer attention, effect-size analysis indicated that many statistically significant regional differences had small or negligible magnitude across validation strategies. In the Kruskal–Wallis effect-size analysis, the largest median epsilon-squared values were observed for NS4B, NS4A, NS1, 2K, E, NS2B, NS2A, and NS3. Pairwise attention effect sizes were generally limited, and </w:t>
      </w:r>
      <w:proofErr w:type="gramStart"/>
      <w:r w:rsidRPr="006E7608">
        <w:rPr>
          <w:rFonts w:ascii="Helvetica" w:hAnsi="Helvetica" w:cstheme="minorHAnsi"/>
          <w:bCs/>
          <w:sz w:val="20"/>
          <w:szCs w:val="20"/>
          <w:lang w:val="en-US"/>
        </w:rPr>
        <w:t>no</w:t>
      </w:r>
      <w:proofErr w:type="gramEnd"/>
      <w:r w:rsidRPr="006E7608">
        <w:rPr>
          <w:rFonts w:ascii="Helvetica" w:hAnsi="Helvetica" w:cstheme="minorHAnsi"/>
          <w:bCs/>
          <w:sz w:val="20"/>
          <w:szCs w:val="20"/>
          <w:lang w:val="en-US"/>
        </w:rPr>
        <w:t xml:space="preserve"> pairwise comparison showed consistent medium or large effect-size support across validation strategies. These results indicate that attention captured reproducible serotype-associated regional differences, while the magnitude of many pairwise differences remained modest. Full p-values, sample counts, and effect-size estimates are provided in Supplementary </w:t>
      </w:r>
      <w:r w:rsidR="009979BE">
        <w:rPr>
          <w:rFonts w:ascii="Helvetica" w:hAnsi="Helvetica" w:cstheme="minorHAnsi"/>
          <w:bCs/>
          <w:sz w:val="20"/>
          <w:szCs w:val="20"/>
          <w:lang w:val="en-US"/>
        </w:rPr>
        <w:t>File</w:t>
      </w:r>
      <w:r w:rsidRPr="006E7608">
        <w:rPr>
          <w:rFonts w:ascii="Helvetica" w:hAnsi="Helvetica" w:cstheme="minorHAnsi"/>
          <w:bCs/>
          <w:sz w:val="20"/>
          <w:szCs w:val="20"/>
          <w:lang w:val="en-US"/>
        </w:rPr>
        <w:t xml:space="preserve"> S1.</w:t>
      </w:r>
      <w:r w:rsidR="00B94D98" w:rsidRPr="00B94D98">
        <w:rPr>
          <w:lang w:val="en-GB"/>
        </w:rPr>
        <w:t xml:space="preserve"> </w:t>
      </w:r>
      <w:r w:rsidR="00B94D98" w:rsidRPr="00B94D98">
        <w:rPr>
          <w:rFonts w:ascii="Helvetica" w:hAnsi="Helvetica" w:cstheme="minorHAnsi"/>
          <w:bCs/>
          <w:sz w:val="20"/>
          <w:szCs w:val="20"/>
          <w:lang w:val="en-US"/>
        </w:rPr>
        <w:t xml:space="preserve">The analogous complete statistical results for G×I attribution, including corrected p-values, sample counts, and effect-size estimates, are provided in Supplementary </w:t>
      </w:r>
      <w:r w:rsidR="009979BE">
        <w:rPr>
          <w:rFonts w:ascii="Helvetica" w:hAnsi="Helvetica" w:cstheme="minorHAnsi"/>
          <w:bCs/>
          <w:sz w:val="20"/>
          <w:szCs w:val="20"/>
          <w:lang w:val="en-US"/>
        </w:rPr>
        <w:t>File</w:t>
      </w:r>
      <w:r w:rsidR="00B94D98" w:rsidRPr="00B94D98">
        <w:rPr>
          <w:rFonts w:ascii="Helvetica" w:hAnsi="Helvetica" w:cstheme="minorHAnsi"/>
          <w:bCs/>
          <w:sz w:val="20"/>
          <w:szCs w:val="20"/>
          <w:lang w:val="en-US"/>
        </w:rPr>
        <w:t xml:space="preserve"> S2.</w:t>
      </w:r>
    </w:p>
    <w:p w14:paraId="08385DAC" w14:textId="77777777" w:rsidR="006B79E4" w:rsidRDefault="006B79E4" w:rsidP="00C05EF0">
      <w:pPr>
        <w:spacing w:before="120" w:line="480" w:lineRule="auto"/>
        <w:jc w:val="both"/>
        <w:rPr>
          <w:rFonts w:ascii="Helvetica" w:hAnsi="Helvetica" w:cstheme="minorHAnsi"/>
          <w:bCs/>
          <w:sz w:val="22"/>
          <w:szCs w:val="22"/>
          <w:lang w:val="en-US"/>
        </w:rPr>
      </w:pPr>
    </w:p>
    <w:p w14:paraId="513FFBCA" w14:textId="77777777" w:rsidR="006B79E4" w:rsidRPr="006B79E4" w:rsidRDefault="006B79E4" w:rsidP="00C05EF0">
      <w:pPr>
        <w:spacing w:before="120" w:line="480" w:lineRule="auto"/>
        <w:jc w:val="both"/>
        <w:rPr>
          <w:rFonts w:ascii="Helvetica" w:hAnsi="Helvetica" w:cstheme="minorHAnsi"/>
          <w:bCs/>
          <w:sz w:val="22"/>
          <w:szCs w:val="22"/>
          <w:lang w:val="en-US"/>
        </w:rPr>
        <w:sectPr w:rsidR="006B79E4" w:rsidRPr="006B79E4" w:rsidSect="00854206">
          <w:pgSz w:w="11900" w:h="16840"/>
          <w:pgMar w:top="1440" w:right="1105" w:bottom="1440" w:left="1156" w:header="708" w:footer="708" w:gutter="0"/>
          <w:cols w:space="708"/>
          <w:docGrid w:linePitch="360"/>
        </w:sectPr>
      </w:pPr>
    </w:p>
    <w:p w14:paraId="2D07C9CA" w14:textId="4A26CEE4" w:rsidR="00B3324D" w:rsidRDefault="007D00FE" w:rsidP="003D16C1">
      <w:pPr>
        <w:keepNext/>
        <w:spacing w:line="480" w:lineRule="auto"/>
        <w:rPr>
          <w:rFonts w:ascii="Helvetica" w:hAnsi="Helvetica"/>
          <w:b/>
          <w:bCs/>
          <w:sz w:val="18"/>
          <w:szCs w:val="18"/>
          <w:lang w:val="en-US"/>
        </w:rPr>
      </w:pPr>
      <w:r>
        <w:rPr>
          <w:rFonts w:ascii="Helvetica" w:hAnsi="Helvetica"/>
          <w:b/>
          <w:bCs/>
          <w:noProof/>
          <w:sz w:val="18"/>
          <w:szCs w:val="18"/>
          <w:lang w:val="en-US"/>
        </w:rPr>
        <w:drawing>
          <wp:inline distT="0" distB="0" distL="0" distR="0" wp14:anchorId="4DDBE515" wp14:editId="1B03CCDE">
            <wp:extent cx="6120765" cy="362839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765" cy="3628390"/>
                    </a:xfrm>
                    <a:prstGeom prst="rect">
                      <a:avLst/>
                    </a:prstGeom>
                  </pic:spPr>
                </pic:pic>
              </a:graphicData>
            </a:graphic>
          </wp:inline>
        </w:drawing>
      </w:r>
    </w:p>
    <w:p w14:paraId="645C518C" w14:textId="3AB3DB7E" w:rsidR="00B945D2" w:rsidRDefault="007D00FE" w:rsidP="003D16C1">
      <w:pPr>
        <w:keepNext/>
        <w:spacing w:before="60" w:after="120" w:line="480" w:lineRule="auto"/>
        <w:jc w:val="both"/>
        <w:rPr>
          <w:rFonts w:ascii="Helvetica" w:hAnsi="Helvetica"/>
          <w:sz w:val="18"/>
          <w:szCs w:val="18"/>
          <w:lang w:val="en-US"/>
        </w:rPr>
      </w:pPr>
      <w:r w:rsidRPr="007D00FE">
        <w:rPr>
          <w:rFonts w:ascii="Helvetica" w:hAnsi="Helvetica"/>
          <w:b/>
          <w:bCs/>
          <w:sz w:val="18"/>
          <w:szCs w:val="18"/>
          <w:lang w:val="en-US"/>
        </w:rPr>
        <w:t>Figure</w:t>
      </w:r>
      <w:r>
        <w:rPr>
          <w:rFonts w:ascii="Helvetica" w:hAnsi="Helvetica"/>
          <w:b/>
          <w:bCs/>
          <w:sz w:val="18"/>
          <w:szCs w:val="18"/>
          <w:lang w:val="en-US"/>
        </w:rPr>
        <w:t xml:space="preserve"> S1</w:t>
      </w:r>
      <w:r w:rsidRPr="007D00FE">
        <w:rPr>
          <w:rFonts w:ascii="Helvetica" w:hAnsi="Helvetica"/>
          <w:b/>
          <w:bCs/>
          <w:sz w:val="18"/>
          <w:szCs w:val="18"/>
          <w:lang w:val="en-US"/>
        </w:rPr>
        <w:t xml:space="preserve">. </w:t>
      </w:r>
      <w:r w:rsidR="000621DD" w:rsidRPr="000621DD">
        <w:rPr>
          <w:rFonts w:ascii="Helvetica" w:hAnsi="Helvetica"/>
          <w:b/>
          <w:bCs/>
          <w:sz w:val="18"/>
          <w:szCs w:val="18"/>
          <w:lang w:val="en-US"/>
        </w:rPr>
        <w:t>Multiple sequence alignment (MSA)</w:t>
      </w:r>
      <w:r w:rsidR="000621DD">
        <w:rPr>
          <w:rFonts w:ascii="Helvetica" w:hAnsi="Helvetica"/>
          <w:b/>
          <w:bCs/>
          <w:sz w:val="18"/>
          <w:szCs w:val="18"/>
          <w:lang w:val="en-US"/>
        </w:rPr>
        <w:t>-based</w:t>
      </w:r>
      <w:r w:rsidRPr="007D00FE">
        <w:rPr>
          <w:rFonts w:ascii="Helvetica" w:hAnsi="Helvetica"/>
          <w:b/>
          <w:bCs/>
          <w:sz w:val="18"/>
          <w:szCs w:val="18"/>
          <w:lang w:val="en-US"/>
        </w:rPr>
        <w:t xml:space="preserve"> regional variability across DENV serotypes after CD-HIT-EST sequence reduction. </w:t>
      </w:r>
      <w:r w:rsidRPr="007D00FE">
        <w:rPr>
          <w:rFonts w:ascii="Helvetica" w:hAnsi="Helvetica"/>
          <w:sz w:val="18"/>
          <w:szCs w:val="18"/>
          <w:lang w:val="en-US"/>
        </w:rPr>
        <w:t>(A) Mean normalized within-serotype entropy computed from nucleotide-level region-specific MSAs of CD-HIT-EST representative genomes and averaged across annotated DENV genomic regions. Higher values indicate greater intra-serotype nucleotide variability. (B) Mean serotype-vs-others divergence computed using Jensen–Shannon divergence (JSD). For each genomic region, pairwise JSD values were computed between serotype-specific nucleotide distributions, and each serotype-vs-others value was obtained by averaging the JSD values between that serotype and each of the other three serotypes. Higher values indicate stronger serotype-specific separation in nucleotide distributions. Genomic regions are ordered according to their position along the DENV genome.</w:t>
      </w:r>
      <w:r>
        <w:rPr>
          <w:rFonts w:ascii="Helvetica" w:hAnsi="Helvetica"/>
          <w:sz w:val="18"/>
          <w:szCs w:val="18"/>
          <w:lang w:val="en-US"/>
        </w:rPr>
        <w:br w:type="page"/>
      </w:r>
    </w:p>
    <w:p w14:paraId="7093BD38" w14:textId="6917D1FF" w:rsidR="00B11046" w:rsidRPr="00B11046" w:rsidRDefault="00B11046" w:rsidP="00B945D2">
      <w:pPr>
        <w:spacing w:line="480" w:lineRule="auto"/>
        <w:jc w:val="both"/>
        <w:rPr>
          <w:rFonts w:ascii="Helvetica" w:hAnsi="Helvetica"/>
          <w:b/>
          <w:bCs/>
          <w:sz w:val="18"/>
          <w:szCs w:val="18"/>
        </w:rPr>
      </w:pPr>
      <w:r w:rsidRPr="00B11046">
        <w:rPr>
          <w:rFonts w:ascii="Helvetica" w:hAnsi="Helvetica"/>
          <w:b/>
          <w:bCs/>
          <w:noProof/>
          <w:sz w:val="18"/>
          <w:szCs w:val="18"/>
        </w:rPr>
        <w:drawing>
          <wp:inline distT="0" distB="0" distL="0" distR="0" wp14:anchorId="317061D8" wp14:editId="4B1E92CC">
            <wp:extent cx="6120765" cy="3175000"/>
            <wp:effectExtent l="0" t="0" r="0" b="6350"/>
            <wp:docPr id="6071069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765" cy="3175000"/>
                    </a:xfrm>
                    <a:prstGeom prst="rect">
                      <a:avLst/>
                    </a:prstGeom>
                    <a:noFill/>
                    <a:ln>
                      <a:noFill/>
                    </a:ln>
                  </pic:spPr>
                </pic:pic>
              </a:graphicData>
            </a:graphic>
          </wp:inline>
        </w:drawing>
      </w:r>
    </w:p>
    <w:p w14:paraId="0978026D" w14:textId="0E9997F8" w:rsidR="00B945D2" w:rsidRDefault="000801CE" w:rsidP="00B11046">
      <w:pPr>
        <w:spacing w:before="60" w:after="120" w:line="480" w:lineRule="auto"/>
        <w:jc w:val="both"/>
        <w:rPr>
          <w:rFonts w:ascii="Helvetica" w:hAnsi="Helvetica"/>
          <w:sz w:val="18"/>
          <w:szCs w:val="18"/>
          <w:lang w:val="en-US"/>
        </w:rPr>
      </w:pPr>
      <w:r>
        <w:rPr>
          <w:rFonts w:ascii="Helvetica" w:hAnsi="Helvetica"/>
          <w:b/>
          <w:bCs/>
          <w:sz w:val="18"/>
          <w:szCs w:val="18"/>
          <w:lang w:val="en-US"/>
        </w:rPr>
        <w:t>Figure S2</w:t>
      </w:r>
      <w:r w:rsidR="00B11046">
        <w:rPr>
          <w:rFonts w:ascii="Helvetica" w:hAnsi="Helvetica"/>
          <w:b/>
          <w:bCs/>
          <w:sz w:val="18"/>
          <w:szCs w:val="18"/>
          <w:lang w:val="en-US"/>
        </w:rPr>
        <w:t>.</w:t>
      </w:r>
      <w:r>
        <w:rPr>
          <w:rFonts w:ascii="Helvetica" w:hAnsi="Helvetica"/>
          <w:b/>
          <w:bCs/>
          <w:sz w:val="18"/>
          <w:szCs w:val="18"/>
          <w:lang w:val="en-US"/>
        </w:rPr>
        <w:t xml:space="preserve"> </w:t>
      </w:r>
      <w:r w:rsidR="00B945D2" w:rsidRPr="00B945D2">
        <w:rPr>
          <w:rFonts w:ascii="Helvetica" w:hAnsi="Helvetica"/>
          <w:b/>
          <w:bCs/>
          <w:sz w:val="18"/>
          <w:szCs w:val="18"/>
          <w:lang w:val="en-US"/>
        </w:rPr>
        <w:t>Confusion matrices for DENFormer-mean across geographical, temporal, and CD-HIT cluster-aware evaluation settings.</w:t>
      </w:r>
      <w:r w:rsidR="00B945D2" w:rsidRPr="00B945D2">
        <w:rPr>
          <w:rFonts w:ascii="Helvetica" w:hAnsi="Helvetica"/>
          <w:sz w:val="18"/>
          <w:szCs w:val="18"/>
          <w:lang w:val="en-US"/>
        </w:rPr>
        <w:t xml:space="preserve"> Each matrix compares the predicted and true DENV serotype labels for the held-out test subset of the corresponding validation partition. The first row shows continent-specific test subsets, the second row temporal test subsets defined by collection period, and the third row the five CD-HIT cluster-aware folds. Matrix rows indicate the true serotype labels, whereas columns indicate the predicted serotype labels. Diagonal entries represent correct classifications, while off-diagonal entries represent misclassifications.</w:t>
      </w:r>
      <w:r w:rsidR="00B945D2">
        <w:rPr>
          <w:rFonts w:ascii="Helvetica" w:hAnsi="Helvetica"/>
          <w:sz w:val="18"/>
          <w:szCs w:val="18"/>
          <w:lang w:val="en-US"/>
        </w:rPr>
        <w:br w:type="page"/>
      </w:r>
    </w:p>
    <w:p w14:paraId="77E61822" w14:textId="77777777" w:rsidR="007D00FE" w:rsidRPr="007D00FE" w:rsidRDefault="007D00FE" w:rsidP="003D16C1">
      <w:pPr>
        <w:keepNext/>
        <w:spacing w:before="60" w:after="120" w:line="480" w:lineRule="auto"/>
        <w:jc w:val="both"/>
        <w:rPr>
          <w:rFonts w:ascii="Helvetica" w:hAnsi="Helvetica"/>
          <w:sz w:val="18"/>
          <w:szCs w:val="18"/>
          <w:lang w:val="en-US"/>
        </w:rPr>
      </w:pPr>
    </w:p>
    <w:p w14:paraId="3CFFE6AD" w14:textId="4316FB85" w:rsidR="00854206" w:rsidRPr="0026639A" w:rsidRDefault="007F6B56" w:rsidP="003D16C1">
      <w:pPr>
        <w:keepNext/>
        <w:spacing w:line="480" w:lineRule="auto"/>
        <w:rPr>
          <w:rFonts w:ascii="Helvetica" w:hAnsi="Helvetica"/>
          <w:lang w:val="en-US"/>
        </w:rPr>
      </w:pPr>
      <w:r w:rsidRPr="0026639A">
        <w:rPr>
          <w:rFonts w:ascii="Helvetica" w:hAnsi="Helvetica"/>
          <w:noProof/>
          <w:lang w:val="en-US"/>
        </w:rPr>
        <w:drawing>
          <wp:inline distT="0" distB="0" distL="0" distR="0" wp14:anchorId="60BE896A" wp14:editId="48620B66">
            <wp:extent cx="6120765" cy="3125736"/>
            <wp:effectExtent l="0" t="0" r="0" b="0"/>
            <wp:docPr id="2104555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55349"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765" cy="3125736"/>
                    </a:xfrm>
                    <a:prstGeom prst="rect">
                      <a:avLst/>
                    </a:prstGeom>
                  </pic:spPr>
                </pic:pic>
              </a:graphicData>
            </a:graphic>
          </wp:inline>
        </w:drawing>
      </w:r>
    </w:p>
    <w:p w14:paraId="063A218B" w14:textId="1CD64A12" w:rsidR="007D00FE" w:rsidRDefault="00854206" w:rsidP="003D16C1">
      <w:pPr>
        <w:pStyle w:val="Caption"/>
        <w:spacing w:beforeLines="60" w:before="144" w:afterLines="120" w:after="288" w:line="480" w:lineRule="auto"/>
        <w:jc w:val="both"/>
        <w:rPr>
          <w:rFonts w:ascii="Helvetica" w:hAnsi="Helvetica"/>
          <w:b w:val="0"/>
          <w:bCs w:val="0"/>
          <w:color w:val="auto"/>
          <w:lang w:val="en-GB"/>
        </w:rPr>
      </w:pPr>
      <w:r w:rsidRPr="0026639A">
        <w:rPr>
          <w:rFonts w:ascii="Helvetica" w:hAnsi="Helvetica"/>
          <w:color w:val="auto"/>
          <w:lang w:val="en-US"/>
        </w:rPr>
        <w:t>Figure S</w:t>
      </w:r>
      <w:r w:rsidR="000801CE">
        <w:rPr>
          <w:rFonts w:ascii="Helvetica" w:hAnsi="Helvetica"/>
          <w:color w:val="auto"/>
          <w:lang w:val="en-US"/>
        </w:rPr>
        <w:t>3</w:t>
      </w:r>
      <w:r w:rsidR="007F6B56" w:rsidRPr="0026639A">
        <w:rPr>
          <w:rFonts w:ascii="Helvetica" w:hAnsi="Helvetica"/>
          <w:color w:val="auto"/>
          <w:lang w:val="en-US"/>
        </w:rPr>
        <w:t>.</w:t>
      </w:r>
      <w:r w:rsidRPr="0026639A">
        <w:rPr>
          <w:rFonts w:ascii="Helvetica" w:hAnsi="Helvetica"/>
          <w:color w:val="auto"/>
          <w:lang w:val="en-US"/>
        </w:rPr>
        <w:t xml:space="preserve"> </w:t>
      </w:r>
      <w:r w:rsidR="00651FCD" w:rsidRPr="000621DD">
        <w:rPr>
          <w:rFonts w:ascii="Helvetica" w:hAnsi="Helvetica"/>
          <w:color w:val="auto"/>
          <w:lang w:val="en-US"/>
        </w:rPr>
        <w:t>Principal component analysis (PCA)</w:t>
      </w:r>
      <w:r w:rsidR="00EE04B4" w:rsidRPr="00EE04B4">
        <w:rPr>
          <w:rFonts w:ascii="Helvetica" w:hAnsi="Helvetica"/>
          <w:color w:val="auto"/>
          <w:lang w:val="en-GB"/>
        </w:rPr>
        <w:t xml:space="preserve"> of DENFormer-mean embeddings across geographical, temporal, and CD-HIT cluster-aware evaluation settings. </w:t>
      </w:r>
      <w:r w:rsidR="00EE04B4" w:rsidRPr="00EE04B4">
        <w:rPr>
          <w:rFonts w:ascii="Helvetica" w:hAnsi="Helvetica"/>
          <w:b w:val="0"/>
          <w:bCs w:val="0"/>
          <w:color w:val="auto"/>
          <w:lang w:val="en-GB"/>
        </w:rPr>
        <w:t xml:space="preserve">Each point represents a DENV genome from the held-out test subset, projected into two dimensions using PCA and </w:t>
      </w:r>
      <w:proofErr w:type="spellStart"/>
      <w:r w:rsidR="00EE04B4" w:rsidRPr="00EE04B4">
        <w:rPr>
          <w:rFonts w:ascii="Helvetica" w:hAnsi="Helvetica"/>
          <w:b w:val="0"/>
          <w:bCs w:val="0"/>
          <w:color w:val="auto"/>
          <w:lang w:val="en-GB"/>
        </w:rPr>
        <w:t>colored</w:t>
      </w:r>
      <w:proofErr w:type="spellEnd"/>
      <w:r w:rsidR="00EE04B4" w:rsidRPr="00EE04B4">
        <w:rPr>
          <w:rFonts w:ascii="Helvetica" w:hAnsi="Helvetica"/>
          <w:b w:val="0"/>
          <w:bCs w:val="0"/>
          <w:color w:val="auto"/>
          <w:lang w:val="en-GB"/>
        </w:rPr>
        <w:t xml:space="preserve"> according to serotype. The first row shows continent-specific test subsets, the </w:t>
      </w:r>
      <w:proofErr w:type="gramStart"/>
      <w:r w:rsidR="00EE04B4" w:rsidRPr="00EE04B4">
        <w:rPr>
          <w:rFonts w:ascii="Helvetica" w:hAnsi="Helvetica"/>
          <w:b w:val="0"/>
          <w:bCs w:val="0"/>
          <w:color w:val="auto"/>
          <w:lang w:val="en-GB"/>
        </w:rPr>
        <w:t>second</w:t>
      </w:r>
      <w:r w:rsidR="008B0534">
        <w:rPr>
          <w:rFonts w:ascii="Helvetica" w:hAnsi="Helvetica"/>
          <w:b w:val="0"/>
          <w:bCs w:val="0"/>
          <w:color w:val="auto"/>
          <w:lang w:val="en-GB"/>
        </w:rPr>
        <w:t xml:space="preserve"> </w:t>
      </w:r>
      <w:r w:rsidR="00EE04B4" w:rsidRPr="00EE04B4">
        <w:rPr>
          <w:rFonts w:ascii="Helvetica" w:hAnsi="Helvetica"/>
          <w:b w:val="0"/>
          <w:bCs w:val="0"/>
          <w:color w:val="auto"/>
          <w:lang w:val="en-GB"/>
        </w:rPr>
        <w:t>row</w:t>
      </w:r>
      <w:proofErr w:type="gramEnd"/>
      <w:r w:rsidR="00EE04B4" w:rsidRPr="00EE04B4">
        <w:rPr>
          <w:rFonts w:ascii="Helvetica" w:hAnsi="Helvetica"/>
          <w:b w:val="0"/>
          <w:bCs w:val="0"/>
          <w:color w:val="auto"/>
          <w:lang w:val="en-GB"/>
        </w:rPr>
        <w:t xml:space="preserve"> temporal test subsets defined by collection period, and the third row the five CD-HIT cluster-aware folds. Overall, the projections provide a linear view of the learned embedding space and indicate broad serotype-associated organization across the three validation protocols.</w:t>
      </w:r>
      <w:r w:rsidR="007D00FE">
        <w:rPr>
          <w:rFonts w:ascii="Helvetica" w:hAnsi="Helvetica"/>
          <w:b w:val="0"/>
          <w:bCs w:val="0"/>
          <w:color w:val="auto"/>
          <w:lang w:val="en-GB"/>
        </w:rPr>
        <w:br w:type="page"/>
      </w:r>
    </w:p>
    <w:p w14:paraId="21609F8F" w14:textId="0057754E" w:rsidR="00586ADD" w:rsidRPr="0026639A" w:rsidRDefault="00C97D6E" w:rsidP="003D16C1">
      <w:pPr>
        <w:keepNext/>
        <w:spacing w:line="480" w:lineRule="auto"/>
        <w:rPr>
          <w:rFonts w:ascii="Helvetica" w:hAnsi="Helvetica"/>
          <w:lang w:val="en-US"/>
        </w:rPr>
      </w:pPr>
      <w:bookmarkStart w:id="0" w:name="_Hlk232610771"/>
      <w:r w:rsidRPr="0026639A">
        <w:rPr>
          <w:rFonts w:ascii="Helvetica" w:hAnsi="Helvetica"/>
          <w:noProof/>
          <w:lang w:val="en-US"/>
        </w:rPr>
        <w:drawing>
          <wp:inline distT="0" distB="0" distL="0" distR="0" wp14:anchorId="363BD65A" wp14:editId="23211CFE">
            <wp:extent cx="6120765" cy="3125736"/>
            <wp:effectExtent l="0" t="0" r="0" b="0"/>
            <wp:docPr id="18126082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08233"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765" cy="3125736"/>
                    </a:xfrm>
                    <a:prstGeom prst="rect">
                      <a:avLst/>
                    </a:prstGeom>
                  </pic:spPr>
                </pic:pic>
              </a:graphicData>
            </a:graphic>
          </wp:inline>
        </w:drawing>
      </w:r>
    </w:p>
    <w:p w14:paraId="128A5B01" w14:textId="36766734" w:rsidR="00220882" w:rsidRPr="0026639A" w:rsidRDefault="00586ADD" w:rsidP="003D16C1">
      <w:pPr>
        <w:pStyle w:val="Caption"/>
        <w:spacing w:before="60" w:after="120" w:line="480" w:lineRule="auto"/>
        <w:jc w:val="both"/>
        <w:rPr>
          <w:rFonts w:ascii="Helvetica" w:hAnsi="Helvetica"/>
          <w:lang w:val="en-US"/>
        </w:rPr>
      </w:pPr>
      <w:r w:rsidRPr="0026639A">
        <w:rPr>
          <w:rFonts w:ascii="Helvetica" w:hAnsi="Helvetica"/>
          <w:color w:val="auto"/>
          <w:lang w:val="en-US"/>
        </w:rPr>
        <w:t>Figur</w:t>
      </w:r>
      <w:r w:rsidR="00B64A10" w:rsidRPr="0026639A">
        <w:rPr>
          <w:rFonts w:ascii="Helvetica" w:hAnsi="Helvetica"/>
          <w:color w:val="auto"/>
          <w:lang w:val="en-US"/>
        </w:rPr>
        <w:t>e</w:t>
      </w:r>
      <w:r w:rsidRPr="0026639A">
        <w:rPr>
          <w:rFonts w:ascii="Helvetica" w:hAnsi="Helvetica"/>
          <w:color w:val="auto"/>
          <w:lang w:val="en-US"/>
        </w:rPr>
        <w:t xml:space="preserve"> S</w:t>
      </w:r>
      <w:r w:rsidR="000801CE">
        <w:rPr>
          <w:rFonts w:ascii="Helvetica" w:hAnsi="Helvetica"/>
          <w:color w:val="auto"/>
          <w:lang w:val="en-US"/>
        </w:rPr>
        <w:t>4</w:t>
      </w:r>
      <w:r w:rsidR="005758C6" w:rsidRPr="0026639A">
        <w:rPr>
          <w:rFonts w:ascii="Helvetica" w:hAnsi="Helvetica"/>
          <w:color w:val="auto"/>
          <w:lang w:val="en-US"/>
        </w:rPr>
        <w:t>.</w:t>
      </w:r>
      <w:r w:rsidRPr="0026639A">
        <w:rPr>
          <w:rFonts w:ascii="Helvetica" w:hAnsi="Helvetica"/>
          <w:color w:val="auto"/>
          <w:lang w:val="en-US"/>
        </w:rPr>
        <w:t xml:space="preserve"> </w:t>
      </w:r>
      <w:bookmarkEnd w:id="0"/>
      <w:r w:rsidR="000621DD" w:rsidRPr="008431CE">
        <w:rPr>
          <w:rFonts w:ascii="Helvetica" w:hAnsi="Helvetica"/>
          <w:color w:val="auto"/>
          <w:lang w:val="en-US"/>
        </w:rPr>
        <w:t>Uniform Manifold Approximation and Projection (UMAP)</w:t>
      </w:r>
      <w:r w:rsidR="0076792D" w:rsidRPr="0076792D">
        <w:rPr>
          <w:rFonts w:ascii="Helvetica" w:hAnsi="Helvetica"/>
          <w:color w:val="auto"/>
          <w:lang w:val="en-GB"/>
        </w:rPr>
        <w:t xml:space="preserve"> of DENFormer-mean embeddings across geographical, temporal, and CD-HIT cluster-aware evaluation settings. </w:t>
      </w:r>
      <w:r w:rsidR="0076792D" w:rsidRPr="0076792D">
        <w:rPr>
          <w:rFonts w:ascii="Helvetica" w:hAnsi="Helvetica"/>
          <w:b w:val="0"/>
          <w:bCs w:val="0"/>
          <w:color w:val="auto"/>
          <w:lang w:val="en-GB"/>
        </w:rPr>
        <w:t xml:space="preserve">Each point represents a DENV genome from the held-out test subset, projected into two dimensions using UMAP and </w:t>
      </w:r>
      <w:proofErr w:type="spellStart"/>
      <w:r w:rsidR="0076792D" w:rsidRPr="0076792D">
        <w:rPr>
          <w:rFonts w:ascii="Helvetica" w:hAnsi="Helvetica"/>
          <w:b w:val="0"/>
          <w:bCs w:val="0"/>
          <w:color w:val="auto"/>
          <w:lang w:val="en-GB"/>
        </w:rPr>
        <w:t>colored</w:t>
      </w:r>
      <w:proofErr w:type="spellEnd"/>
      <w:r w:rsidR="0076792D" w:rsidRPr="0076792D">
        <w:rPr>
          <w:rFonts w:ascii="Helvetica" w:hAnsi="Helvetica"/>
          <w:b w:val="0"/>
          <w:bCs w:val="0"/>
          <w:color w:val="auto"/>
          <w:lang w:val="en-GB"/>
        </w:rPr>
        <w:t xml:space="preserve"> according to serotype. The first row shows continent-specific test subsets, the </w:t>
      </w:r>
      <w:proofErr w:type="gramStart"/>
      <w:r w:rsidR="0076792D" w:rsidRPr="0076792D">
        <w:rPr>
          <w:rFonts w:ascii="Helvetica" w:hAnsi="Helvetica"/>
          <w:b w:val="0"/>
          <w:bCs w:val="0"/>
          <w:color w:val="auto"/>
          <w:lang w:val="en-GB"/>
        </w:rPr>
        <w:t>second</w:t>
      </w:r>
      <w:r w:rsidR="008B0534">
        <w:rPr>
          <w:rFonts w:ascii="Helvetica" w:hAnsi="Helvetica"/>
          <w:b w:val="0"/>
          <w:bCs w:val="0"/>
          <w:color w:val="auto"/>
          <w:lang w:val="en-GB"/>
        </w:rPr>
        <w:t xml:space="preserve"> </w:t>
      </w:r>
      <w:r w:rsidR="0076792D" w:rsidRPr="0076792D">
        <w:rPr>
          <w:rFonts w:ascii="Helvetica" w:hAnsi="Helvetica"/>
          <w:b w:val="0"/>
          <w:bCs w:val="0"/>
          <w:color w:val="auto"/>
          <w:lang w:val="en-GB"/>
        </w:rPr>
        <w:t>row</w:t>
      </w:r>
      <w:proofErr w:type="gramEnd"/>
      <w:r w:rsidR="0076792D" w:rsidRPr="0076792D">
        <w:rPr>
          <w:rFonts w:ascii="Helvetica" w:hAnsi="Helvetica"/>
          <w:b w:val="0"/>
          <w:bCs w:val="0"/>
          <w:color w:val="auto"/>
          <w:lang w:val="en-GB"/>
        </w:rPr>
        <w:t xml:space="preserve"> temporal test subsets defined by collection period, and the third row the five CD-HIT cluster-aware folds. Overall, the projections provide a nonlinear view of the learned embedding space and indicate compact local serotype-associated groupings across the three validation protocols.</w:t>
      </w:r>
      <w:r w:rsidR="00747AC7">
        <w:rPr>
          <w:rFonts w:ascii="Helvetica" w:hAnsi="Helvetica"/>
          <w:lang w:val="en-US"/>
        </w:rPr>
        <w:br w:type="page"/>
      </w:r>
      <w:r w:rsidR="00220882" w:rsidRPr="0026639A">
        <w:rPr>
          <w:rFonts w:ascii="Helvetica" w:hAnsi="Helvetica"/>
          <w:noProof/>
          <w:lang w:val="en-US"/>
        </w:rPr>
        <w:drawing>
          <wp:inline distT="0" distB="0" distL="0" distR="0" wp14:anchorId="46708BD5" wp14:editId="260B90B5">
            <wp:extent cx="6120765" cy="2665557"/>
            <wp:effectExtent l="0" t="0" r="0" b="190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765" cy="2665557"/>
                    </a:xfrm>
                    <a:prstGeom prst="rect">
                      <a:avLst/>
                    </a:prstGeom>
                  </pic:spPr>
                </pic:pic>
              </a:graphicData>
            </a:graphic>
          </wp:inline>
        </w:drawing>
      </w:r>
    </w:p>
    <w:p w14:paraId="0091E101" w14:textId="17511993" w:rsidR="00586ADD" w:rsidRDefault="00220882" w:rsidP="007D00FE">
      <w:pPr>
        <w:pStyle w:val="Caption"/>
        <w:spacing w:before="60" w:after="120" w:line="480" w:lineRule="auto"/>
        <w:jc w:val="both"/>
        <w:rPr>
          <w:rFonts w:ascii="Helvetica" w:hAnsi="Helvetica"/>
          <w:b w:val="0"/>
          <w:bCs w:val="0"/>
          <w:color w:val="auto"/>
          <w:lang w:val="en-GB"/>
        </w:rPr>
      </w:pPr>
      <w:r w:rsidRPr="0026639A">
        <w:rPr>
          <w:rFonts w:ascii="Helvetica" w:hAnsi="Helvetica"/>
          <w:color w:val="auto"/>
          <w:lang w:val="en-US"/>
        </w:rPr>
        <w:t>Figure S</w:t>
      </w:r>
      <w:r w:rsidR="000801CE">
        <w:rPr>
          <w:rFonts w:ascii="Helvetica" w:hAnsi="Helvetica"/>
          <w:color w:val="auto"/>
          <w:lang w:val="en-US"/>
        </w:rPr>
        <w:t>5</w:t>
      </w:r>
      <w:r w:rsidRPr="0026639A">
        <w:rPr>
          <w:rFonts w:ascii="Helvetica" w:hAnsi="Helvetica"/>
          <w:color w:val="auto"/>
          <w:lang w:val="en-US"/>
        </w:rPr>
        <w:t>.</w:t>
      </w:r>
      <w:r w:rsidR="00E10E2A">
        <w:rPr>
          <w:color w:val="auto"/>
          <w:lang w:val="en-US"/>
        </w:rPr>
        <w:t xml:space="preserve"> </w:t>
      </w:r>
      <w:r w:rsidR="008431CE" w:rsidRPr="008431CE">
        <w:rPr>
          <w:rFonts w:ascii="Helvetica" w:hAnsi="Helvetica"/>
          <w:color w:val="auto"/>
          <w:lang w:val="en-US"/>
        </w:rPr>
        <w:t>Regional Gradient × Input (G×I)</w:t>
      </w:r>
      <w:r w:rsidR="00E10E2A" w:rsidRPr="00E10E2A">
        <w:rPr>
          <w:rFonts w:ascii="Helvetica" w:hAnsi="Helvetica"/>
          <w:color w:val="auto"/>
          <w:lang w:val="en-US"/>
        </w:rPr>
        <w:t xml:space="preserve"> attribution distributions and cross-strategy statistical consistency</w:t>
      </w:r>
      <w:r w:rsidRPr="00F266A5">
        <w:rPr>
          <w:rFonts w:ascii="Helvetica" w:hAnsi="Helvetica"/>
          <w:color w:val="auto"/>
          <w:lang w:val="en-GB"/>
        </w:rPr>
        <w:t xml:space="preserve">. </w:t>
      </w:r>
      <w:r w:rsidR="00D35E37" w:rsidRPr="00D35E37">
        <w:rPr>
          <w:rFonts w:ascii="Helvetica" w:hAnsi="Helvetica"/>
          <w:b w:val="0"/>
          <w:bCs w:val="0"/>
          <w:color w:val="auto"/>
          <w:lang w:val="en-GB"/>
        </w:rPr>
        <w:t xml:space="preserve">Regional G×I attribution scores are shown for each annotated DENV genomic region across DENV1–DENV4 and the three validation protocols: geographical split by continent, temporal split, and CD-HIT cluster-aware split. Left panel: boxplots summarize sample-level regional G×I distributions after reduction of nucleotide-level input-gradient products to regional signal values; </w:t>
      </w:r>
      <w:proofErr w:type="spellStart"/>
      <w:r w:rsidR="00D35E37" w:rsidRPr="00D35E37">
        <w:rPr>
          <w:rFonts w:ascii="Helvetica" w:hAnsi="Helvetica"/>
          <w:b w:val="0"/>
          <w:bCs w:val="0"/>
          <w:color w:val="auto"/>
          <w:lang w:val="en-GB"/>
        </w:rPr>
        <w:t>colors</w:t>
      </w:r>
      <w:proofErr w:type="spellEnd"/>
      <w:r w:rsidR="00D35E37" w:rsidRPr="00D35E37">
        <w:rPr>
          <w:rFonts w:ascii="Helvetica" w:hAnsi="Helvetica"/>
          <w:b w:val="0"/>
          <w:bCs w:val="0"/>
          <w:color w:val="auto"/>
          <w:lang w:val="en-GB"/>
        </w:rPr>
        <w:t xml:space="preserve"> indicate the validation protocol. Middle panel: Kruskal–Wallis tests evaluate serotype-dependent differences within each genomic region. Right panel: pairwise Mann–Whitney U tests compare all six serotype pairs. Heatmap intensity encodes −log</w:t>
      </w:r>
      <w:r w:rsidR="00D35E37" w:rsidRPr="00D35E37">
        <w:rPr>
          <w:rFonts w:ascii="Cambria Math" w:hAnsi="Cambria Math" w:cs="Cambria Math"/>
          <w:b w:val="0"/>
          <w:bCs w:val="0"/>
          <w:color w:val="auto"/>
          <w:lang w:val="en-GB"/>
        </w:rPr>
        <w:t>₁₀</w:t>
      </w:r>
      <w:r w:rsidR="00D35E37" w:rsidRPr="00D35E37">
        <w:rPr>
          <w:rFonts w:ascii="Helvetica" w:hAnsi="Helvetica"/>
          <w:b w:val="0"/>
          <w:bCs w:val="0"/>
          <w:color w:val="auto"/>
          <w:lang w:val="en-GB"/>
        </w:rPr>
        <w:t xml:space="preserve"> of the maximum </w:t>
      </w:r>
      <w:r w:rsidR="008431CE" w:rsidRPr="000E51AB">
        <w:rPr>
          <w:rFonts w:ascii="Helvetica" w:hAnsi="Helvetica"/>
          <w:b w:val="0"/>
          <w:bCs w:val="0"/>
          <w:color w:val="auto"/>
          <w:lang w:val="en-US"/>
        </w:rPr>
        <w:t>false discovery rate (FDR)</w:t>
      </w:r>
      <w:r w:rsidR="00D35E37" w:rsidRPr="00D35E37">
        <w:rPr>
          <w:rFonts w:ascii="Helvetica" w:hAnsi="Helvetica"/>
          <w:b w:val="0"/>
          <w:bCs w:val="0"/>
          <w:color w:val="auto"/>
          <w:lang w:val="en-GB"/>
        </w:rPr>
        <w:t xml:space="preserve">-corrected p-value across the three validation protocols, providing a conservative summary of cross-strategy statistical consistency; non-consensus cells are displayed with minimal intensity. </w:t>
      </w:r>
      <w:proofErr w:type="spellStart"/>
      <w:r w:rsidR="00D35E37" w:rsidRPr="00D35E37">
        <w:rPr>
          <w:rFonts w:ascii="Helvetica" w:hAnsi="Helvetica"/>
          <w:b w:val="0"/>
          <w:bCs w:val="0"/>
          <w:color w:val="auto"/>
          <w:lang w:val="en-GB"/>
        </w:rPr>
        <w:t>Colored</w:t>
      </w:r>
      <w:proofErr w:type="spellEnd"/>
      <w:r w:rsidR="00D35E37" w:rsidRPr="00D35E37">
        <w:rPr>
          <w:rFonts w:ascii="Helvetica" w:hAnsi="Helvetica"/>
          <w:b w:val="0"/>
          <w:bCs w:val="0"/>
          <w:color w:val="auto"/>
          <w:lang w:val="en-GB"/>
        </w:rPr>
        <w:t xml:space="preserve"> asterisks report the significance level obtained within each individual validation protocol, matching the strategy </w:t>
      </w:r>
      <w:proofErr w:type="spellStart"/>
      <w:r w:rsidR="00D35E37" w:rsidRPr="00D35E37">
        <w:rPr>
          <w:rFonts w:ascii="Helvetica" w:hAnsi="Helvetica"/>
          <w:b w:val="0"/>
          <w:bCs w:val="0"/>
          <w:color w:val="auto"/>
          <w:lang w:val="en-GB"/>
        </w:rPr>
        <w:t>colors</w:t>
      </w:r>
      <w:proofErr w:type="spellEnd"/>
      <w:r w:rsidR="00D35E37" w:rsidRPr="00D35E37">
        <w:rPr>
          <w:rFonts w:ascii="Helvetica" w:hAnsi="Helvetica"/>
          <w:b w:val="0"/>
          <w:bCs w:val="0"/>
          <w:color w:val="auto"/>
          <w:lang w:val="en-GB"/>
        </w:rPr>
        <w:t xml:space="preserve"> used in the boxplots. Significance levels are denoted as *, **, *** for </w:t>
      </w:r>
      <w:proofErr w:type="spellStart"/>
      <w:r w:rsidR="00D35E37" w:rsidRPr="00D35E37">
        <w:rPr>
          <w:rFonts w:ascii="Helvetica" w:hAnsi="Helvetica"/>
          <w:b w:val="0"/>
          <w:bCs w:val="0"/>
          <w:color w:val="auto"/>
          <w:lang w:val="en-GB"/>
        </w:rPr>
        <w:t>pFDR</w:t>
      </w:r>
      <w:proofErr w:type="spellEnd"/>
      <w:r w:rsidR="00D35E37" w:rsidRPr="00D35E37">
        <w:rPr>
          <w:rFonts w:ascii="Helvetica" w:hAnsi="Helvetica"/>
          <w:b w:val="0"/>
          <w:bCs w:val="0"/>
          <w:color w:val="auto"/>
          <w:lang w:val="en-GB"/>
        </w:rPr>
        <w:t xml:space="preserve"> &lt; 0.05, </w:t>
      </w:r>
      <w:proofErr w:type="spellStart"/>
      <w:r w:rsidR="00D35E37" w:rsidRPr="00D35E37">
        <w:rPr>
          <w:rFonts w:ascii="Helvetica" w:hAnsi="Helvetica"/>
          <w:b w:val="0"/>
          <w:bCs w:val="0"/>
          <w:color w:val="auto"/>
          <w:lang w:val="en-GB"/>
        </w:rPr>
        <w:t>pFDR</w:t>
      </w:r>
      <w:proofErr w:type="spellEnd"/>
      <w:r w:rsidR="00D35E37" w:rsidRPr="00D35E37">
        <w:rPr>
          <w:rFonts w:ascii="Helvetica" w:hAnsi="Helvetica"/>
          <w:b w:val="0"/>
          <w:bCs w:val="0"/>
          <w:color w:val="auto"/>
          <w:lang w:val="en-GB"/>
        </w:rPr>
        <w:t xml:space="preserve"> &lt; 0.01, and </w:t>
      </w:r>
      <w:proofErr w:type="spellStart"/>
      <w:r w:rsidR="00D35E37" w:rsidRPr="00D35E37">
        <w:rPr>
          <w:rFonts w:ascii="Helvetica" w:hAnsi="Helvetica"/>
          <w:b w:val="0"/>
          <w:bCs w:val="0"/>
          <w:color w:val="auto"/>
          <w:lang w:val="en-GB"/>
        </w:rPr>
        <w:t>pFDR</w:t>
      </w:r>
      <w:proofErr w:type="spellEnd"/>
      <w:r w:rsidR="00D35E37" w:rsidRPr="00D35E37">
        <w:rPr>
          <w:rFonts w:ascii="Helvetica" w:hAnsi="Helvetica"/>
          <w:b w:val="0"/>
          <w:bCs w:val="0"/>
          <w:color w:val="auto"/>
          <w:lang w:val="en-GB"/>
        </w:rPr>
        <w:t xml:space="preserve"> &lt; 0.001, respectively. Pairwise comparisons are shown in the context of regions satisfying the Kruskal–</w:t>
      </w:r>
      <w:proofErr w:type="gramStart"/>
      <w:r w:rsidR="00D35E37" w:rsidRPr="00D35E37">
        <w:rPr>
          <w:rFonts w:ascii="Helvetica" w:hAnsi="Helvetica"/>
          <w:b w:val="0"/>
          <w:bCs w:val="0"/>
          <w:color w:val="auto"/>
          <w:lang w:val="en-GB"/>
        </w:rPr>
        <w:t>Wallis</w:t>
      </w:r>
      <w:proofErr w:type="gramEnd"/>
      <w:r w:rsidR="00D35E37" w:rsidRPr="00D35E37">
        <w:rPr>
          <w:rFonts w:ascii="Helvetica" w:hAnsi="Helvetica"/>
          <w:b w:val="0"/>
          <w:bCs w:val="0"/>
          <w:color w:val="auto"/>
          <w:lang w:val="en-GB"/>
        </w:rPr>
        <w:t xml:space="preserve"> consensus criterion.</w:t>
      </w:r>
    </w:p>
    <w:p w14:paraId="3E0CA638" w14:textId="729052B4" w:rsidR="0057356C" w:rsidRDefault="001E4D4A" w:rsidP="001E4D4A">
      <w:pPr>
        <w:rPr>
          <w:rFonts w:ascii="Helvetica" w:hAnsi="Helvetica" w:cs="Helvetica"/>
          <w:sz w:val="20"/>
          <w:szCs w:val="20"/>
          <w:lang w:val="en-GB"/>
        </w:rPr>
      </w:pPr>
      <w:r>
        <w:rPr>
          <w:rFonts w:ascii="Helvetica" w:hAnsi="Helvetica" w:cs="Helvetica"/>
          <w:sz w:val="20"/>
          <w:szCs w:val="20"/>
          <w:lang w:val="en-GB"/>
        </w:rPr>
        <w:br w:type="page"/>
      </w:r>
    </w:p>
    <w:p w14:paraId="71CB8446" w14:textId="1F684A64" w:rsidR="009916B6" w:rsidRPr="009916B6" w:rsidRDefault="00E55762" w:rsidP="00B61FC3">
      <w:pPr>
        <w:spacing w:line="480" w:lineRule="auto"/>
        <w:jc w:val="both"/>
        <w:rPr>
          <w:rFonts w:ascii="Helvetica" w:hAnsi="Helvetica" w:cs="Helvetica"/>
          <w:sz w:val="18"/>
          <w:szCs w:val="18"/>
          <w:lang w:val="en-US"/>
        </w:rPr>
      </w:pPr>
      <w:r w:rsidRPr="00743A65">
        <w:rPr>
          <w:rFonts w:ascii="Helvetica" w:hAnsi="Helvetica" w:cs="Helvetica"/>
          <w:b/>
          <w:bCs/>
          <w:sz w:val="18"/>
          <w:szCs w:val="18"/>
          <w:lang w:val="en-GB"/>
        </w:rPr>
        <w:t>Table S</w:t>
      </w:r>
      <w:r>
        <w:rPr>
          <w:rFonts w:ascii="Helvetica" w:hAnsi="Helvetica" w:cs="Helvetica"/>
          <w:b/>
          <w:bCs/>
          <w:sz w:val="18"/>
          <w:szCs w:val="18"/>
          <w:lang w:val="en-GB"/>
        </w:rPr>
        <w:t>1</w:t>
      </w:r>
      <w:r w:rsidRPr="00743A65">
        <w:rPr>
          <w:rFonts w:ascii="Helvetica" w:hAnsi="Helvetica" w:cs="Helvetica"/>
          <w:b/>
          <w:bCs/>
          <w:sz w:val="18"/>
          <w:szCs w:val="18"/>
          <w:lang w:val="en-GB"/>
        </w:rPr>
        <w:t xml:space="preserve">. </w:t>
      </w:r>
      <w:r w:rsidR="009916B6" w:rsidRPr="00B61FC3">
        <w:rPr>
          <w:rFonts w:ascii="Helvetica" w:hAnsi="Helvetica" w:cs="Helvetica"/>
          <w:b/>
          <w:bCs/>
          <w:sz w:val="18"/>
          <w:szCs w:val="18"/>
          <w:lang w:val="en-US"/>
        </w:rPr>
        <w:t>Performance of classifiers based exclusively on global sequence properties.</w:t>
      </w:r>
      <w:r w:rsidR="009916B6" w:rsidRPr="009916B6">
        <w:rPr>
          <w:rFonts w:ascii="Helvetica" w:hAnsi="Helvetica" w:cs="Helvetica"/>
          <w:sz w:val="18"/>
          <w:szCs w:val="18"/>
          <w:lang w:val="en-US"/>
        </w:rPr>
        <w:t xml:space="preserve"> </w:t>
      </w:r>
      <w:r w:rsidR="000E659A" w:rsidRPr="000E659A">
        <w:rPr>
          <w:rFonts w:ascii="Helvetica" w:hAnsi="Helvetica" w:cs="Helvetica"/>
          <w:sz w:val="18"/>
          <w:szCs w:val="18"/>
          <w:lang w:val="en-US"/>
        </w:rPr>
        <w:t>Accuracy, balanced accuracy, and macro-F1 are reported as percentages in separate rows and were calculated from pooled held-out predictions across all partitions of each validation protocol. LR, multinomial Logistic Regression; HGB, histogram gradient boosting. The complete sequence-quality feature set comprised sequence length and the fractions of N, non-N IUPAC ambiguity symbols, gaps, other non-ACGT symbols, and GC among unambiguous A, C, G, and T positions</w:t>
      </w:r>
      <w:r w:rsidR="009916B6" w:rsidRPr="009916B6">
        <w:rPr>
          <w:rFonts w:ascii="Helvetica" w:hAnsi="Helvetica" w:cs="Helvetica"/>
          <w:sz w:val="18"/>
          <w:szCs w:val="18"/>
          <w:lang w:val="en-US"/>
        </w:rPr>
        <w:t>.</w:t>
      </w:r>
    </w:p>
    <w:p w14:paraId="34042EA8" w14:textId="279E5430" w:rsidR="008A69B5" w:rsidRPr="008A69B5" w:rsidRDefault="008A69B5" w:rsidP="008A69B5">
      <w:pPr>
        <w:spacing w:line="480" w:lineRule="auto"/>
        <w:rPr>
          <w:rFonts w:ascii="Helvetica" w:hAnsi="Helvetica" w:cs="Helvetica"/>
          <w:sz w:val="18"/>
          <w:szCs w:val="18"/>
          <w:lang w:val="en-US"/>
        </w:rPr>
      </w:pPr>
    </w:p>
    <w:tbl>
      <w:tblPr>
        <w:tblW w:w="9680" w:type="dxa"/>
        <w:tblCellMar>
          <w:left w:w="70" w:type="dxa"/>
          <w:right w:w="70" w:type="dxa"/>
        </w:tblCellMar>
        <w:tblLook w:val="04A0" w:firstRow="1" w:lastRow="0" w:firstColumn="1" w:lastColumn="0" w:noHBand="0" w:noVBand="1"/>
      </w:tblPr>
      <w:tblGrid>
        <w:gridCol w:w="2840"/>
        <w:gridCol w:w="2100"/>
        <w:gridCol w:w="1580"/>
        <w:gridCol w:w="1580"/>
        <w:gridCol w:w="1580"/>
      </w:tblGrid>
      <w:tr w:rsidR="00F95B54" w14:paraId="6E2BFEC0" w14:textId="77777777" w:rsidTr="00F95B54">
        <w:trPr>
          <w:trHeight w:val="522"/>
        </w:trPr>
        <w:tc>
          <w:tcPr>
            <w:tcW w:w="2840" w:type="dxa"/>
            <w:tcBorders>
              <w:top w:val="single" w:sz="4" w:space="0" w:color="B4C7E7"/>
              <w:left w:val="single" w:sz="4" w:space="0" w:color="B4C7E7"/>
              <w:bottom w:val="single" w:sz="4" w:space="0" w:color="B4C7E7"/>
              <w:right w:val="single" w:sz="4" w:space="0" w:color="B4C7E7"/>
            </w:tcBorders>
            <w:shd w:val="clear" w:color="000000" w:fill="1F4E78"/>
            <w:vAlign w:val="center"/>
            <w:hideMark/>
          </w:tcPr>
          <w:p w14:paraId="20F1C082" w14:textId="77777777" w:rsidR="00F95B54" w:rsidRPr="00BE18AA" w:rsidRDefault="00F95B54">
            <w:pPr>
              <w:jc w:val="center"/>
              <w:rPr>
                <w:rFonts w:ascii="Helvetica" w:hAnsi="Helvetica" w:cs="Helvetica"/>
                <w:b/>
                <w:bCs/>
                <w:color w:val="FFFFFF"/>
                <w:sz w:val="16"/>
                <w:szCs w:val="16"/>
                <w:lang w:eastAsia="it-IT"/>
              </w:rPr>
            </w:pPr>
            <w:bookmarkStart w:id="1" w:name="RANGE!A1:E25"/>
            <w:r w:rsidRPr="00BE18AA">
              <w:rPr>
                <w:rFonts w:ascii="Helvetica" w:hAnsi="Helvetica" w:cs="Helvetica"/>
                <w:b/>
                <w:bCs/>
                <w:color w:val="FFFFFF"/>
                <w:sz w:val="16"/>
                <w:szCs w:val="16"/>
              </w:rPr>
              <w:t>Baseline</w:t>
            </w:r>
            <w:bookmarkEnd w:id="1"/>
          </w:p>
        </w:tc>
        <w:tc>
          <w:tcPr>
            <w:tcW w:w="2100" w:type="dxa"/>
            <w:tcBorders>
              <w:top w:val="single" w:sz="4" w:space="0" w:color="B4C7E7"/>
              <w:left w:val="nil"/>
              <w:bottom w:val="single" w:sz="4" w:space="0" w:color="B4C7E7"/>
              <w:right w:val="single" w:sz="4" w:space="0" w:color="B4C7E7"/>
            </w:tcBorders>
            <w:shd w:val="clear" w:color="000000" w:fill="1F4E78"/>
            <w:vAlign w:val="center"/>
            <w:hideMark/>
          </w:tcPr>
          <w:p w14:paraId="757303AE" w14:textId="77777777" w:rsidR="00F95B54" w:rsidRPr="00BE18AA" w:rsidRDefault="00F95B54" w:rsidP="00D726BA">
            <w:pPr>
              <w:jc w:val="center"/>
              <w:rPr>
                <w:rFonts w:ascii="Helvetica" w:hAnsi="Helvetica" w:cs="Helvetica"/>
                <w:b/>
                <w:bCs/>
                <w:color w:val="FFFFFF"/>
                <w:sz w:val="16"/>
                <w:szCs w:val="16"/>
              </w:rPr>
            </w:pPr>
            <w:proofErr w:type="spellStart"/>
            <w:r w:rsidRPr="00BE18AA">
              <w:rPr>
                <w:rFonts w:ascii="Helvetica" w:hAnsi="Helvetica" w:cs="Helvetica"/>
                <w:b/>
                <w:bCs/>
                <w:color w:val="FFFFFF"/>
                <w:sz w:val="16"/>
                <w:szCs w:val="16"/>
              </w:rPr>
              <w:t>Metric</w:t>
            </w:r>
            <w:proofErr w:type="spellEnd"/>
          </w:p>
        </w:tc>
        <w:tc>
          <w:tcPr>
            <w:tcW w:w="1580" w:type="dxa"/>
            <w:tcBorders>
              <w:top w:val="single" w:sz="4" w:space="0" w:color="B4C7E7"/>
              <w:left w:val="nil"/>
              <w:bottom w:val="single" w:sz="4" w:space="0" w:color="B4C7E7"/>
              <w:right w:val="single" w:sz="4" w:space="0" w:color="B4C7E7"/>
            </w:tcBorders>
            <w:shd w:val="clear" w:color="000000" w:fill="1F4E78"/>
            <w:vAlign w:val="center"/>
            <w:hideMark/>
          </w:tcPr>
          <w:p w14:paraId="58611CDA" w14:textId="77777777" w:rsidR="00F95B54" w:rsidRPr="00BE18AA" w:rsidRDefault="00F95B54" w:rsidP="00D726BA">
            <w:pPr>
              <w:jc w:val="center"/>
              <w:rPr>
                <w:rFonts w:ascii="Helvetica" w:hAnsi="Helvetica" w:cs="Helvetica"/>
                <w:b/>
                <w:bCs/>
                <w:color w:val="FFFFFF"/>
                <w:sz w:val="16"/>
                <w:szCs w:val="16"/>
              </w:rPr>
            </w:pPr>
            <w:r w:rsidRPr="00BE18AA">
              <w:rPr>
                <w:rFonts w:ascii="Helvetica" w:hAnsi="Helvetica" w:cs="Helvetica"/>
                <w:b/>
                <w:bCs/>
                <w:color w:val="FFFFFF"/>
                <w:sz w:val="16"/>
                <w:szCs w:val="16"/>
              </w:rPr>
              <w:t>Geographical</w:t>
            </w:r>
          </w:p>
        </w:tc>
        <w:tc>
          <w:tcPr>
            <w:tcW w:w="1580" w:type="dxa"/>
            <w:tcBorders>
              <w:top w:val="single" w:sz="4" w:space="0" w:color="B4C7E7"/>
              <w:left w:val="nil"/>
              <w:bottom w:val="single" w:sz="4" w:space="0" w:color="B4C7E7"/>
              <w:right w:val="single" w:sz="4" w:space="0" w:color="B4C7E7"/>
            </w:tcBorders>
            <w:shd w:val="clear" w:color="000000" w:fill="1F4E78"/>
            <w:vAlign w:val="center"/>
            <w:hideMark/>
          </w:tcPr>
          <w:p w14:paraId="209CADBD" w14:textId="77777777" w:rsidR="00F95B54" w:rsidRPr="00BE18AA" w:rsidRDefault="00F95B54" w:rsidP="00D726BA">
            <w:pPr>
              <w:jc w:val="center"/>
              <w:rPr>
                <w:rFonts w:ascii="Helvetica" w:hAnsi="Helvetica" w:cs="Helvetica"/>
                <w:b/>
                <w:bCs/>
                <w:color w:val="FFFFFF"/>
                <w:sz w:val="16"/>
                <w:szCs w:val="16"/>
              </w:rPr>
            </w:pPr>
            <w:r w:rsidRPr="00BE18AA">
              <w:rPr>
                <w:rFonts w:ascii="Helvetica" w:hAnsi="Helvetica" w:cs="Helvetica"/>
                <w:b/>
                <w:bCs/>
                <w:color w:val="FFFFFF"/>
                <w:sz w:val="16"/>
                <w:szCs w:val="16"/>
              </w:rPr>
              <w:t>Temporal</w:t>
            </w:r>
          </w:p>
        </w:tc>
        <w:tc>
          <w:tcPr>
            <w:tcW w:w="1580" w:type="dxa"/>
            <w:tcBorders>
              <w:top w:val="single" w:sz="4" w:space="0" w:color="B4C7E7"/>
              <w:left w:val="nil"/>
              <w:bottom w:val="single" w:sz="4" w:space="0" w:color="B4C7E7"/>
              <w:right w:val="single" w:sz="4" w:space="0" w:color="B4C7E7"/>
            </w:tcBorders>
            <w:shd w:val="clear" w:color="000000" w:fill="1F4E78"/>
            <w:vAlign w:val="center"/>
            <w:hideMark/>
          </w:tcPr>
          <w:p w14:paraId="35C1FDA2" w14:textId="77777777" w:rsidR="00F95B54" w:rsidRPr="00BE18AA" w:rsidRDefault="00F95B54" w:rsidP="00D726BA">
            <w:pPr>
              <w:jc w:val="center"/>
              <w:rPr>
                <w:rFonts w:ascii="Helvetica" w:hAnsi="Helvetica" w:cs="Helvetica"/>
                <w:b/>
                <w:bCs/>
                <w:color w:val="FFFFFF"/>
                <w:sz w:val="16"/>
                <w:szCs w:val="16"/>
              </w:rPr>
            </w:pPr>
            <w:r w:rsidRPr="00BE18AA">
              <w:rPr>
                <w:rFonts w:ascii="Helvetica" w:hAnsi="Helvetica" w:cs="Helvetica"/>
                <w:b/>
                <w:bCs/>
                <w:color w:val="FFFFFF"/>
                <w:sz w:val="16"/>
                <w:szCs w:val="16"/>
              </w:rPr>
              <w:t>CD-HIT</w:t>
            </w:r>
          </w:p>
        </w:tc>
      </w:tr>
      <w:tr w:rsidR="00F95B54" w14:paraId="191F33FC" w14:textId="77777777" w:rsidTr="00F95B54">
        <w:trPr>
          <w:trHeight w:val="300"/>
        </w:trPr>
        <w:tc>
          <w:tcPr>
            <w:tcW w:w="2840" w:type="dxa"/>
            <w:vMerge w:val="restart"/>
            <w:tcBorders>
              <w:top w:val="nil"/>
              <w:left w:val="single" w:sz="4" w:space="0" w:color="B4C7E7"/>
              <w:bottom w:val="single" w:sz="4" w:space="0" w:color="B4C7E7"/>
              <w:right w:val="single" w:sz="4" w:space="0" w:color="B4C7E7"/>
            </w:tcBorders>
            <w:shd w:val="clear" w:color="000000" w:fill="EAF0F8"/>
            <w:vAlign w:val="center"/>
            <w:hideMark/>
          </w:tcPr>
          <w:p w14:paraId="28D8EFDB" w14:textId="77777777" w:rsidR="00F95B54" w:rsidRPr="00BE18AA" w:rsidRDefault="00F95B54">
            <w:pPr>
              <w:jc w:val="center"/>
              <w:rPr>
                <w:rFonts w:ascii="Helvetica" w:hAnsi="Helvetica" w:cs="Helvetica"/>
                <w:b/>
                <w:bCs/>
                <w:color w:val="000000"/>
                <w:sz w:val="16"/>
                <w:szCs w:val="16"/>
              </w:rPr>
            </w:pPr>
            <w:proofErr w:type="spellStart"/>
            <w:r w:rsidRPr="00BE18AA">
              <w:rPr>
                <w:rFonts w:ascii="Helvetica" w:hAnsi="Helvetica" w:cs="Helvetica"/>
                <w:b/>
                <w:bCs/>
                <w:color w:val="000000"/>
                <w:sz w:val="16"/>
                <w:szCs w:val="16"/>
              </w:rPr>
              <w:t>Majority</w:t>
            </w:r>
            <w:proofErr w:type="spellEnd"/>
            <w:r w:rsidRPr="00BE18AA">
              <w:rPr>
                <w:rFonts w:ascii="Helvetica" w:hAnsi="Helvetica" w:cs="Helvetica"/>
                <w:b/>
                <w:bCs/>
                <w:color w:val="000000"/>
                <w:sz w:val="16"/>
                <w:szCs w:val="16"/>
              </w:rPr>
              <w:t xml:space="preserve"> class</w:t>
            </w:r>
          </w:p>
        </w:tc>
        <w:tc>
          <w:tcPr>
            <w:tcW w:w="2100" w:type="dxa"/>
            <w:tcBorders>
              <w:top w:val="nil"/>
              <w:left w:val="nil"/>
              <w:bottom w:val="single" w:sz="4" w:space="0" w:color="B4C7E7"/>
              <w:right w:val="single" w:sz="4" w:space="0" w:color="B4C7E7"/>
            </w:tcBorders>
            <w:vAlign w:val="center"/>
            <w:hideMark/>
          </w:tcPr>
          <w:p w14:paraId="257671D0"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Accuracy</w:t>
            </w:r>
          </w:p>
        </w:tc>
        <w:tc>
          <w:tcPr>
            <w:tcW w:w="1580" w:type="dxa"/>
            <w:tcBorders>
              <w:top w:val="nil"/>
              <w:left w:val="nil"/>
              <w:bottom w:val="single" w:sz="4" w:space="0" w:color="B4C7E7"/>
              <w:right w:val="single" w:sz="4" w:space="0" w:color="B4C7E7"/>
            </w:tcBorders>
            <w:noWrap/>
            <w:vAlign w:val="center"/>
            <w:hideMark/>
          </w:tcPr>
          <w:p w14:paraId="4BF8F674"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33.7</w:t>
            </w:r>
          </w:p>
        </w:tc>
        <w:tc>
          <w:tcPr>
            <w:tcW w:w="1580" w:type="dxa"/>
            <w:tcBorders>
              <w:top w:val="nil"/>
              <w:left w:val="nil"/>
              <w:bottom w:val="single" w:sz="4" w:space="0" w:color="B4C7E7"/>
              <w:right w:val="single" w:sz="4" w:space="0" w:color="B4C7E7"/>
            </w:tcBorders>
            <w:noWrap/>
            <w:vAlign w:val="center"/>
            <w:hideMark/>
          </w:tcPr>
          <w:p w14:paraId="29139B55"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37.0</w:t>
            </w:r>
          </w:p>
        </w:tc>
        <w:tc>
          <w:tcPr>
            <w:tcW w:w="1580" w:type="dxa"/>
            <w:tcBorders>
              <w:top w:val="nil"/>
              <w:left w:val="nil"/>
              <w:bottom w:val="single" w:sz="4" w:space="0" w:color="B4C7E7"/>
              <w:right w:val="single" w:sz="4" w:space="0" w:color="B4C7E7"/>
            </w:tcBorders>
            <w:noWrap/>
            <w:vAlign w:val="center"/>
            <w:hideMark/>
          </w:tcPr>
          <w:p w14:paraId="703AC186"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43.9</w:t>
            </w:r>
          </w:p>
        </w:tc>
      </w:tr>
      <w:tr w:rsidR="00F95B54" w14:paraId="397BCE8C"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5D19F93A"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487B0621"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 xml:space="preserve">Balanced </w:t>
            </w:r>
            <w:proofErr w:type="spellStart"/>
            <w:r w:rsidRPr="00BE18AA">
              <w:rPr>
                <w:rFonts w:ascii="Helvetica" w:hAnsi="Helvetica" w:cs="Helvetica"/>
                <w:color w:val="000000"/>
                <w:sz w:val="16"/>
                <w:szCs w:val="16"/>
              </w:rPr>
              <w:t>accuracy</w:t>
            </w:r>
            <w:proofErr w:type="spellEnd"/>
          </w:p>
        </w:tc>
        <w:tc>
          <w:tcPr>
            <w:tcW w:w="1580" w:type="dxa"/>
            <w:tcBorders>
              <w:top w:val="nil"/>
              <w:left w:val="nil"/>
              <w:bottom w:val="single" w:sz="4" w:space="0" w:color="B4C7E7"/>
              <w:right w:val="single" w:sz="4" w:space="0" w:color="B4C7E7"/>
            </w:tcBorders>
            <w:noWrap/>
            <w:vAlign w:val="center"/>
            <w:hideMark/>
          </w:tcPr>
          <w:p w14:paraId="32A6F495"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20.5</w:t>
            </w:r>
          </w:p>
        </w:tc>
        <w:tc>
          <w:tcPr>
            <w:tcW w:w="1580" w:type="dxa"/>
            <w:tcBorders>
              <w:top w:val="nil"/>
              <w:left w:val="nil"/>
              <w:bottom w:val="single" w:sz="4" w:space="0" w:color="B4C7E7"/>
              <w:right w:val="single" w:sz="4" w:space="0" w:color="B4C7E7"/>
            </w:tcBorders>
            <w:noWrap/>
            <w:vAlign w:val="center"/>
            <w:hideMark/>
          </w:tcPr>
          <w:p w14:paraId="4A01D4BD"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23.0</w:t>
            </w:r>
          </w:p>
        </w:tc>
        <w:tc>
          <w:tcPr>
            <w:tcW w:w="1580" w:type="dxa"/>
            <w:tcBorders>
              <w:top w:val="nil"/>
              <w:left w:val="nil"/>
              <w:bottom w:val="single" w:sz="4" w:space="0" w:color="B4C7E7"/>
              <w:right w:val="single" w:sz="4" w:space="0" w:color="B4C7E7"/>
            </w:tcBorders>
            <w:noWrap/>
            <w:vAlign w:val="center"/>
            <w:hideMark/>
          </w:tcPr>
          <w:p w14:paraId="434B43FB"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25.0</w:t>
            </w:r>
          </w:p>
        </w:tc>
      </w:tr>
      <w:tr w:rsidR="00F95B54" w14:paraId="0EFE47EB"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5DAFACF2"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378AA2D2"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Macro-F1</w:t>
            </w:r>
          </w:p>
        </w:tc>
        <w:tc>
          <w:tcPr>
            <w:tcW w:w="1580" w:type="dxa"/>
            <w:tcBorders>
              <w:top w:val="nil"/>
              <w:left w:val="nil"/>
              <w:bottom w:val="single" w:sz="4" w:space="0" w:color="B4C7E7"/>
              <w:right w:val="single" w:sz="4" w:space="0" w:color="B4C7E7"/>
            </w:tcBorders>
            <w:noWrap/>
            <w:vAlign w:val="center"/>
            <w:hideMark/>
          </w:tcPr>
          <w:p w14:paraId="5C952323"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18.4</w:t>
            </w:r>
          </w:p>
        </w:tc>
        <w:tc>
          <w:tcPr>
            <w:tcW w:w="1580" w:type="dxa"/>
            <w:tcBorders>
              <w:top w:val="nil"/>
              <w:left w:val="nil"/>
              <w:bottom w:val="single" w:sz="4" w:space="0" w:color="B4C7E7"/>
              <w:right w:val="single" w:sz="4" w:space="0" w:color="B4C7E7"/>
            </w:tcBorders>
            <w:noWrap/>
            <w:vAlign w:val="center"/>
            <w:hideMark/>
          </w:tcPr>
          <w:p w14:paraId="6071CF2D"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20.3</w:t>
            </w:r>
          </w:p>
        </w:tc>
        <w:tc>
          <w:tcPr>
            <w:tcW w:w="1580" w:type="dxa"/>
            <w:tcBorders>
              <w:top w:val="nil"/>
              <w:left w:val="nil"/>
              <w:bottom w:val="single" w:sz="4" w:space="0" w:color="B4C7E7"/>
              <w:right w:val="single" w:sz="4" w:space="0" w:color="B4C7E7"/>
            </w:tcBorders>
            <w:noWrap/>
            <w:vAlign w:val="center"/>
            <w:hideMark/>
          </w:tcPr>
          <w:p w14:paraId="0925ECE8"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15.3</w:t>
            </w:r>
          </w:p>
        </w:tc>
      </w:tr>
      <w:tr w:rsidR="00F95B54" w14:paraId="7D4B9FBD" w14:textId="77777777" w:rsidTr="00F95B54">
        <w:trPr>
          <w:trHeight w:val="300"/>
        </w:trPr>
        <w:tc>
          <w:tcPr>
            <w:tcW w:w="2840" w:type="dxa"/>
            <w:vMerge w:val="restart"/>
            <w:tcBorders>
              <w:top w:val="nil"/>
              <w:left w:val="single" w:sz="4" w:space="0" w:color="B4C7E7"/>
              <w:bottom w:val="single" w:sz="4" w:space="0" w:color="B4C7E7"/>
              <w:right w:val="single" w:sz="4" w:space="0" w:color="B4C7E7"/>
            </w:tcBorders>
            <w:shd w:val="clear" w:color="000000" w:fill="EAF0F8"/>
            <w:vAlign w:val="center"/>
            <w:hideMark/>
          </w:tcPr>
          <w:p w14:paraId="4C19A85C" w14:textId="77777777" w:rsidR="00F95B54" w:rsidRPr="00BE18AA" w:rsidRDefault="00F95B54">
            <w:pPr>
              <w:jc w:val="center"/>
              <w:rPr>
                <w:rFonts w:ascii="Helvetica" w:hAnsi="Helvetica" w:cs="Helvetica"/>
                <w:b/>
                <w:bCs/>
                <w:color w:val="000000"/>
                <w:sz w:val="16"/>
                <w:szCs w:val="16"/>
              </w:rPr>
            </w:pPr>
            <w:r w:rsidRPr="00BE18AA">
              <w:rPr>
                <w:rFonts w:ascii="Helvetica" w:hAnsi="Helvetica" w:cs="Helvetica"/>
                <w:b/>
                <w:bCs/>
                <w:color w:val="000000"/>
                <w:sz w:val="16"/>
                <w:szCs w:val="16"/>
              </w:rPr>
              <w:t>Length (LR)</w:t>
            </w:r>
          </w:p>
        </w:tc>
        <w:tc>
          <w:tcPr>
            <w:tcW w:w="2100" w:type="dxa"/>
            <w:tcBorders>
              <w:top w:val="nil"/>
              <w:left w:val="nil"/>
              <w:bottom w:val="single" w:sz="4" w:space="0" w:color="B4C7E7"/>
              <w:right w:val="single" w:sz="4" w:space="0" w:color="B4C7E7"/>
            </w:tcBorders>
            <w:vAlign w:val="center"/>
            <w:hideMark/>
          </w:tcPr>
          <w:p w14:paraId="0F5CAEC9"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Accuracy</w:t>
            </w:r>
          </w:p>
        </w:tc>
        <w:tc>
          <w:tcPr>
            <w:tcW w:w="1580" w:type="dxa"/>
            <w:tcBorders>
              <w:top w:val="nil"/>
              <w:left w:val="nil"/>
              <w:bottom w:val="single" w:sz="4" w:space="0" w:color="B4C7E7"/>
              <w:right w:val="single" w:sz="4" w:space="0" w:color="B4C7E7"/>
            </w:tcBorders>
            <w:noWrap/>
            <w:vAlign w:val="center"/>
            <w:hideMark/>
          </w:tcPr>
          <w:p w14:paraId="71AA14EE"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34.0</w:t>
            </w:r>
          </w:p>
        </w:tc>
        <w:tc>
          <w:tcPr>
            <w:tcW w:w="1580" w:type="dxa"/>
            <w:tcBorders>
              <w:top w:val="nil"/>
              <w:left w:val="nil"/>
              <w:bottom w:val="single" w:sz="4" w:space="0" w:color="B4C7E7"/>
              <w:right w:val="single" w:sz="4" w:space="0" w:color="B4C7E7"/>
            </w:tcBorders>
            <w:noWrap/>
            <w:vAlign w:val="center"/>
            <w:hideMark/>
          </w:tcPr>
          <w:p w14:paraId="24F1EC58"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41.0</w:t>
            </w:r>
          </w:p>
        </w:tc>
        <w:tc>
          <w:tcPr>
            <w:tcW w:w="1580" w:type="dxa"/>
            <w:tcBorders>
              <w:top w:val="nil"/>
              <w:left w:val="nil"/>
              <w:bottom w:val="single" w:sz="4" w:space="0" w:color="B4C7E7"/>
              <w:right w:val="single" w:sz="4" w:space="0" w:color="B4C7E7"/>
            </w:tcBorders>
            <w:noWrap/>
            <w:vAlign w:val="center"/>
            <w:hideMark/>
          </w:tcPr>
          <w:p w14:paraId="7004A570"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36.6</w:t>
            </w:r>
          </w:p>
        </w:tc>
      </w:tr>
      <w:tr w:rsidR="00F95B54" w14:paraId="5B65AA91"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593BFEC9"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6DAA38DD"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 xml:space="preserve">Balanced </w:t>
            </w:r>
            <w:proofErr w:type="spellStart"/>
            <w:r w:rsidRPr="00BE18AA">
              <w:rPr>
                <w:rFonts w:ascii="Helvetica" w:hAnsi="Helvetica" w:cs="Helvetica"/>
                <w:color w:val="000000"/>
                <w:sz w:val="16"/>
                <w:szCs w:val="16"/>
              </w:rPr>
              <w:t>accuracy</w:t>
            </w:r>
            <w:proofErr w:type="spellEnd"/>
          </w:p>
        </w:tc>
        <w:tc>
          <w:tcPr>
            <w:tcW w:w="1580" w:type="dxa"/>
            <w:tcBorders>
              <w:top w:val="nil"/>
              <w:left w:val="nil"/>
              <w:bottom w:val="single" w:sz="4" w:space="0" w:color="B4C7E7"/>
              <w:right w:val="single" w:sz="4" w:space="0" w:color="B4C7E7"/>
            </w:tcBorders>
            <w:noWrap/>
            <w:vAlign w:val="center"/>
            <w:hideMark/>
          </w:tcPr>
          <w:p w14:paraId="365459F1"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19.9</w:t>
            </w:r>
          </w:p>
        </w:tc>
        <w:tc>
          <w:tcPr>
            <w:tcW w:w="1580" w:type="dxa"/>
            <w:tcBorders>
              <w:top w:val="nil"/>
              <w:left w:val="nil"/>
              <w:bottom w:val="single" w:sz="4" w:space="0" w:color="B4C7E7"/>
              <w:right w:val="single" w:sz="4" w:space="0" w:color="B4C7E7"/>
            </w:tcBorders>
            <w:noWrap/>
            <w:vAlign w:val="center"/>
            <w:hideMark/>
          </w:tcPr>
          <w:p w14:paraId="5D0B3C81"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24.4</w:t>
            </w:r>
          </w:p>
        </w:tc>
        <w:tc>
          <w:tcPr>
            <w:tcW w:w="1580" w:type="dxa"/>
            <w:tcBorders>
              <w:top w:val="nil"/>
              <w:left w:val="nil"/>
              <w:bottom w:val="single" w:sz="4" w:space="0" w:color="B4C7E7"/>
              <w:right w:val="single" w:sz="4" w:space="0" w:color="B4C7E7"/>
            </w:tcBorders>
            <w:noWrap/>
            <w:vAlign w:val="center"/>
            <w:hideMark/>
          </w:tcPr>
          <w:p w14:paraId="131D056C"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21.5</w:t>
            </w:r>
          </w:p>
        </w:tc>
      </w:tr>
      <w:tr w:rsidR="00F95B54" w14:paraId="786FE22C"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664D6E91"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43978E1D"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Macro-F1</w:t>
            </w:r>
          </w:p>
        </w:tc>
        <w:tc>
          <w:tcPr>
            <w:tcW w:w="1580" w:type="dxa"/>
            <w:tcBorders>
              <w:top w:val="nil"/>
              <w:left w:val="nil"/>
              <w:bottom w:val="single" w:sz="4" w:space="0" w:color="B4C7E7"/>
              <w:right w:val="single" w:sz="4" w:space="0" w:color="B4C7E7"/>
            </w:tcBorders>
            <w:noWrap/>
            <w:vAlign w:val="center"/>
            <w:hideMark/>
          </w:tcPr>
          <w:p w14:paraId="2833B56B"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16.4</w:t>
            </w:r>
          </w:p>
        </w:tc>
        <w:tc>
          <w:tcPr>
            <w:tcW w:w="1580" w:type="dxa"/>
            <w:tcBorders>
              <w:top w:val="nil"/>
              <w:left w:val="nil"/>
              <w:bottom w:val="single" w:sz="4" w:space="0" w:color="B4C7E7"/>
              <w:right w:val="single" w:sz="4" w:space="0" w:color="B4C7E7"/>
            </w:tcBorders>
            <w:noWrap/>
            <w:vAlign w:val="center"/>
            <w:hideMark/>
          </w:tcPr>
          <w:p w14:paraId="62C39D44"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21.3</w:t>
            </w:r>
          </w:p>
        </w:tc>
        <w:tc>
          <w:tcPr>
            <w:tcW w:w="1580" w:type="dxa"/>
            <w:tcBorders>
              <w:top w:val="nil"/>
              <w:left w:val="nil"/>
              <w:bottom w:val="single" w:sz="4" w:space="0" w:color="B4C7E7"/>
              <w:right w:val="single" w:sz="4" w:space="0" w:color="B4C7E7"/>
            </w:tcBorders>
            <w:noWrap/>
            <w:vAlign w:val="center"/>
            <w:hideMark/>
          </w:tcPr>
          <w:p w14:paraId="057519EA"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18.2</w:t>
            </w:r>
          </w:p>
        </w:tc>
      </w:tr>
      <w:tr w:rsidR="00F95B54" w14:paraId="72D51636" w14:textId="77777777" w:rsidTr="00F95B54">
        <w:trPr>
          <w:trHeight w:val="300"/>
        </w:trPr>
        <w:tc>
          <w:tcPr>
            <w:tcW w:w="2840" w:type="dxa"/>
            <w:vMerge w:val="restart"/>
            <w:tcBorders>
              <w:top w:val="nil"/>
              <w:left w:val="single" w:sz="4" w:space="0" w:color="B4C7E7"/>
              <w:bottom w:val="single" w:sz="4" w:space="0" w:color="B4C7E7"/>
              <w:right w:val="single" w:sz="4" w:space="0" w:color="B4C7E7"/>
            </w:tcBorders>
            <w:shd w:val="clear" w:color="000000" w:fill="EAF0F8"/>
            <w:vAlign w:val="center"/>
            <w:hideMark/>
          </w:tcPr>
          <w:p w14:paraId="7744ACB7" w14:textId="77777777" w:rsidR="00F95B54" w:rsidRPr="00BE18AA" w:rsidRDefault="00F95B54">
            <w:pPr>
              <w:jc w:val="center"/>
              <w:rPr>
                <w:rFonts w:ascii="Helvetica" w:hAnsi="Helvetica" w:cs="Helvetica"/>
                <w:b/>
                <w:bCs/>
                <w:color w:val="000000"/>
                <w:sz w:val="16"/>
                <w:szCs w:val="16"/>
              </w:rPr>
            </w:pPr>
            <w:r w:rsidRPr="00BE18AA">
              <w:rPr>
                <w:rFonts w:ascii="Helvetica" w:hAnsi="Helvetica" w:cs="Helvetica"/>
                <w:b/>
                <w:bCs/>
                <w:color w:val="000000"/>
                <w:sz w:val="16"/>
                <w:szCs w:val="16"/>
              </w:rPr>
              <w:t xml:space="preserve">N </w:t>
            </w:r>
            <w:proofErr w:type="spellStart"/>
            <w:r w:rsidRPr="00BE18AA">
              <w:rPr>
                <w:rFonts w:ascii="Helvetica" w:hAnsi="Helvetica" w:cs="Helvetica"/>
                <w:b/>
                <w:bCs/>
                <w:color w:val="000000"/>
                <w:sz w:val="16"/>
                <w:szCs w:val="16"/>
              </w:rPr>
              <w:t>fraction</w:t>
            </w:r>
            <w:proofErr w:type="spellEnd"/>
            <w:r w:rsidRPr="00BE18AA">
              <w:rPr>
                <w:rFonts w:ascii="Helvetica" w:hAnsi="Helvetica" w:cs="Helvetica"/>
                <w:b/>
                <w:bCs/>
                <w:color w:val="000000"/>
                <w:sz w:val="16"/>
                <w:szCs w:val="16"/>
              </w:rPr>
              <w:t xml:space="preserve"> (LR)</w:t>
            </w:r>
          </w:p>
        </w:tc>
        <w:tc>
          <w:tcPr>
            <w:tcW w:w="2100" w:type="dxa"/>
            <w:tcBorders>
              <w:top w:val="nil"/>
              <w:left w:val="nil"/>
              <w:bottom w:val="single" w:sz="4" w:space="0" w:color="B4C7E7"/>
              <w:right w:val="single" w:sz="4" w:space="0" w:color="B4C7E7"/>
            </w:tcBorders>
            <w:vAlign w:val="center"/>
            <w:hideMark/>
          </w:tcPr>
          <w:p w14:paraId="20A2D6B4"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Accuracy</w:t>
            </w:r>
          </w:p>
        </w:tc>
        <w:tc>
          <w:tcPr>
            <w:tcW w:w="1580" w:type="dxa"/>
            <w:tcBorders>
              <w:top w:val="nil"/>
              <w:left w:val="nil"/>
              <w:bottom w:val="single" w:sz="4" w:space="0" w:color="B4C7E7"/>
              <w:right w:val="single" w:sz="4" w:space="0" w:color="B4C7E7"/>
            </w:tcBorders>
            <w:noWrap/>
            <w:vAlign w:val="center"/>
            <w:hideMark/>
          </w:tcPr>
          <w:p w14:paraId="2213725D"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35.3</w:t>
            </w:r>
          </w:p>
        </w:tc>
        <w:tc>
          <w:tcPr>
            <w:tcW w:w="1580" w:type="dxa"/>
            <w:tcBorders>
              <w:top w:val="nil"/>
              <w:left w:val="nil"/>
              <w:bottom w:val="single" w:sz="4" w:space="0" w:color="B4C7E7"/>
              <w:right w:val="single" w:sz="4" w:space="0" w:color="B4C7E7"/>
            </w:tcBorders>
            <w:noWrap/>
            <w:vAlign w:val="center"/>
            <w:hideMark/>
          </w:tcPr>
          <w:p w14:paraId="5F170B63"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33.9</w:t>
            </w:r>
          </w:p>
        </w:tc>
        <w:tc>
          <w:tcPr>
            <w:tcW w:w="1580" w:type="dxa"/>
            <w:tcBorders>
              <w:top w:val="nil"/>
              <w:left w:val="nil"/>
              <w:bottom w:val="single" w:sz="4" w:space="0" w:color="B4C7E7"/>
              <w:right w:val="single" w:sz="4" w:space="0" w:color="B4C7E7"/>
            </w:tcBorders>
            <w:noWrap/>
            <w:vAlign w:val="center"/>
            <w:hideMark/>
          </w:tcPr>
          <w:p w14:paraId="121CB83F"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37.1</w:t>
            </w:r>
          </w:p>
        </w:tc>
      </w:tr>
      <w:tr w:rsidR="00F95B54" w14:paraId="7F26C413"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73C200D6"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74A70F3F"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 xml:space="preserve">Balanced </w:t>
            </w:r>
            <w:proofErr w:type="spellStart"/>
            <w:r w:rsidRPr="00BE18AA">
              <w:rPr>
                <w:rFonts w:ascii="Helvetica" w:hAnsi="Helvetica" w:cs="Helvetica"/>
                <w:color w:val="000000"/>
                <w:sz w:val="16"/>
                <w:szCs w:val="16"/>
              </w:rPr>
              <w:t>accuracy</w:t>
            </w:r>
            <w:proofErr w:type="spellEnd"/>
          </w:p>
        </w:tc>
        <w:tc>
          <w:tcPr>
            <w:tcW w:w="1580" w:type="dxa"/>
            <w:tcBorders>
              <w:top w:val="nil"/>
              <w:left w:val="nil"/>
              <w:bottom w:val="single" w:sz="4" w:space="0" w:color="B4C7E7"/>
              <w:right w:val="single" w:sz="4" w:space="0" w:color="B4C7E7"/>
            </w:tcBorders>
            <w:noWrap/>
            <w:vAlign w:val="center"/>
            <w:hideMark/>
          </w:tcPr>
          <w:p w14:paraId="4800C751"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21.8</w:t>
            </w:r>
          </w:p>
        </w:tc>
        <w:tc>
          <w:tcPr>
            <w:tcW w:w="1580" w:type="dxa"/>
            <w:tcBorders>
              <w:top w:val="nil"/>
              <w:left w:val="nil"/>
              <w:bottom w:val="single" w:sz="4" w:space="0" w:color="B4C7E7"/>
              <w:right w:val="single" w:sz="4" w:space="0" w:color="B4C7E7"/>
            </w:tcBorders>
            <w:noWrap/>
            <w:vAlign w:val="center"/>
            <w:hideMark/>
          </w:tcPr>
          <w:p w14:paraId="60EB49C3"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21.9</w:t>
            </w:r>
          </w:p>
        </w:tc>
        <w:tc>
          <w:tcPr>
            <w:tcW w:w="1580" w:type="dxa"/>
            <w:tcBorders>
              <w:top w:val="nil"/>
              <w:left w:val="nil"/>
              <w:bottom w:val="single" w:sz="4" w:space="0" w:color="B4C7E7"/>
              <w:right w:val="single" w:sz="4" w:space="0" w:color="B4C7E7"/>
            </w:tcBorders>
            <w:noWrap/>
            <w:vAlign w:val="center"/>
            <w:hideMark/>
          </w:tcPr>
          <w:p w14:paraId="3D79A7CA"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22.9</w:t>
            </w:r>
          </w:p>
        </w:tc>
      </w:tr>
      <w:tr w:rsidR="00F95B54" w14:paraId="066F5EEF"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0D3D08FD"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798E7D97"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Macro-F1</w:t>
            </w:r>
          </w:p>
        </w:tc>
        <w:tc>
          <w:tcPr>
            <w:tcW w:w="1580" w:type="dxa"/>
            <w:tcBorders>
              <w:top w:val="nil"/>
              <w:left w:val="nil"/>
              <w:bottom w:val="single" w:sz="4" w:space="0" w:color="B4C7E7"/>
              <w:right w:val="single" w:sz="4" w:space="0" w:color="B4C7E7"/>
            </w:tcBorders>
            <w:noWrap/>
            <w:vAlign w:val="center"/>
            <w:hideMark/>
          </w:tcPr>
          <w:p w14:paraId="6A750616"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19.5</w:t>
            </w:r>
          </w:p>
        </w:tc>
        <w:tc>
          <w:tcPr>
            <w:tcW w:w="1580" w:type="dxa"/>
            <w:tcBorders>
              <w:top w:val="nil"/>
              <w:left w:val="nil"/>
              <w:bottom w:val="single" w:sz="4" w:space="0" w:color="B4C7E7"/>
              <w:right w:val="single" w:sz="4" w:space="0" w:color="B4C7E7"/>
            </w:tcBorders>
            <w:noWrap/>
            <w:vAlign w:val="center"/>
            <w:hideMark/>
          </w:tcPr>
          <w:p w14:paraId="26775A21"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16.6</w:t>
            </w:r>
          </w:p>
        </w:tc>
        <w:tc>
          <w:tcPr>
            <w:tcW w:w="1580" w:type="dxa"/>
            <w:tcBorders>
              <w:top w:val="nil"/>
              <w:left w:val="nil"/>
              <w:bottom w:val="single" w:sz="4" w:space="0" w:color="B4C7E7"/>
              <w:right w:val="single" w:sz="4" w:space="0" w:color="B4C7E7"/>
            </w:tcBorders>
            <w:noWrap/>
            <w:vAlign w:val="center"/>
            <w:hideMark/>
          </w:tcPr>
          <w:p w14:paraId="4BC95930"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20.4</w:t>
            </w:r>
          </w:p>
        </w:tc>
      </w:tr>
      <w:tr w:rsidR="00F95B54" w14:paraId="3FACAC58" w14:textId="77777777" w:rsidTr="00F95B54">
        <w:trPr>
          <w:trHeight w:val="300"/>
        </w:trPr>
        <w:tc>
          <w:tcPr>
            <w:tcW w:w="2840" w:type="dxa"/>
            <w:vMerge w:val="restart"/>
            <w:tcBorders>
              <w:top w:val="nil"/>
              <w:left w:val="single" w:sz="4" w:space="0" w:color="B4C7E7"/>
              <w:bottom w:val="single" w:sz="4" w:space="0" w:color="B4C7E7"/>
              <w:right w:val="single" w:sz="4" w:space="0" w:color="B4C7E7"/>
            </w:tcBorders>
            <w:shd w:val="clear" w:color="000000" w:fill="EAF0F8"/>
            <w:vAlign w:val="center"/>
            <w:hideMark/>
          </w:tcPr>
          <w:p w14:paraId="799997CA" w14:textId="77777777" w:rsidR="00F95B54" w:rsidRPr="00BE18AA" w:rsidRDefault="00F95B54">
            <w:pPr>
              <w:jc w:val="center"/>
              <w:rPr>
                <w:rFonts w:ascii="Helvetica" w:hAnsi="Helvetica" w:cs="Helvetica"/>
                <w:b/>
                <w:bCs/>
                <w:color w:val="000000"/>
                <w:sz w:val="16"/>
                <w:szCs w:val="16"/>
              </w:rPr>
            </w:pPr>
            <w:r w:rsidRPr="00BE18AA">
              <w:rPr>
                <w:rFonts w:ascii="Helvetica" w:hAnsi="Helvetica" w:cs="Helvetica"/>
                <w:b/>
                <w:bCs/>
                <w:color w:val="000000"/>
                <w:sz w:val="16"/>
                <w:szCs w:val="16"/>
              </w:rPr>
              <w:t xml:space="preserve">GC </w:t>
            </w:r>
            <w:proofErr w:type="spellStart"/>
            <w:r w:rsidRPr="00BE18AA">
              <w:rPr>
                <w:rFonts w:ascii="Helvetica" w:hAnsi="Helvetica" w:cs="Helvetica"/>
                <w:b/>
                <w:bCs/>
                <w:color w:val="000000"/>
                <w:sz w:val="16"/>
                <w:szCs w:val="16"/>
              </w:rPr>
              <w:t>fraction</w:t>
            </w:r>
            <w:proofErr w:type="spellEnd"/>
            <w:r w:rsidRPr="00BE18AA">
              <w:rPr>
                <w:rFonts w:ascii="Helvetica" w:hAnsi="Helvetica" w:cs="Helvetica"/>
                <w:b/>
                <w:bCs/>
                <w:color w:val="000000"/>
                <w:sz w:val="16"/>
                <w:szCs w:val="16"/>
              </w:rPr>
              <w:t xml:space="preserve"> (LR)</w:t>
            </w:r>
          </w:p>
        </w:tc>
        <w:tc>
          <w:tcPr>
            <w:tcW w:w="2100" w:type="dxa"/>
            <w:tcBorders>
              <w:top w:val="nil"/>
              <w:left w:val="nil"/>
              <w:bottom w:val="single" w:sz="4" w:space="0" w:color="B4C7E7"/>
              <w:right w:val="single" w:sz="4" w:space="0" w:color="B4C7E7"/>
            </w:tcBorders>
            <w:vAlign w:val="center"/>
            <w:hideMark/>
          </w:tcPr>
          <w:p w14:paraId="14611D97"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Accuracy</w:t>
            </w:r>
          </w:p>
        </w:tc>
        <w:tc>
          <w:tcPr>
            <w:tcW w:w="1580" w:type="dxa"/>
            <w:tcBorders>
              <w:top w:val="nil"/>
              <w:left w:val="nil"/>
              <w:bottom w:val="single" w:sz="4" w:space="0" w:color="B4C7E7"/>
              <w:right w:val="single" w:sz="4" w:space="0" w:color="B4C7E7"/>
            </w:tcBorders>
            <w:noWrap/>
            <w:vAlign w:val="center"/>
            <w:hideMark/>
          </w:tcPr>
          <w:p w14:paraId="6CB8F169"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84.4</w:t>
            </w:r>
          </w:p>
        </w:tc>
        <w:tc>
          <w:tcPr>
            <w:tcW w:w="1580" w:type="dxa"/>
            <w:tcBorders>
              <w:top w:val="nil"/>
              <w:left w:val="nil"/>
              <w:bottom w:val="single" w:sz="4" w:space="0" w:color="B4C7E7"/>
              <w:right w:val="single" w:sz="4" w:space="0" w:color="B4C7E7"/>
            </w:tcBorders>
            <w:noWrap/>
            <w:vAlign w:val="center"/>
            <w:hideMark/>
          </w:tcPr>
          <w:p w14:paraId="0E1234E5"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84.6</w:t>
            </w:r>
          </w:p>
        </w:tc>
        <w:tc>
          <w:tcPr>
            <w:tcW w:w="1580" w:type="dxa"/>
            <w:tcBorders>
              <w:top w:val="nil"/>
              <w:left w:val="nil"/>
              <w:bottom w:val="single" w:sz="4" w:space="0" w:color="B4C7E7"/>
              <w:right w:val="single" w:sz="4" w:space="0" w:color="B4C7E7"/>
            </w:tcBorders>
            <w:noWrap/>
            <w:vAlign w:val="center"/>
            <w:hideMark/>
          </w:tcPr>
          <w:p w14:paraId="6B83F075"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84.5</w:t>
            </w:r>
          </w:p>
        </w:tc>
      </w:tr>
      <w:tr w:rsidR="00F95B54" w14:paraId="2839CE40"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5E5C7EEA"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1D7DB3C5"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 xml:space="preserve">Balanced </w:t>
            </w:r>
            <w:proofErr w:type="spellStart"/>
            <w:r w:rsidRPr="00BE18AA">
              <w:rPr>
                <w:rFonts w:ascii="Helvetica" w:hAnsi="Helvetica" w:cs="Helvetica"/>
                <w:color w:val="000000"/>
                <w:sz w:val="16"/>
                <w:szCs w:val="16"/>
              </w:rPr>
              <w:t>accuracy</w:t>
            </w:r>
            <w:proofErr w:type="spellEnd"/>
          </w:p>
        </w:tc>
        <w:tc>
          <w:tcPr>
            <w:tcW w:w="1580" w:type="dxa"/>
            <w:tcBorders>
              <w:top w:val="nil"/>
              <w:left w:val="nil"/>
              <w:bottom w:val="single" w:sz="4" w:space="0" w:color="B4C7E7"/>
              <w:right w:val="single" w:sz="4" w:space="0" w:color="B4C7E7"/>
            </w:tcBorders>
            <w:noWrap/>
            <w:vAlign w:val="center"/>
            <w:hideMark/>
          </w:tcPr>
          <w:p w14:paraId="7A666175"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69.9</w:t>
            </w:r>
          </w:p>
        </w:tc>
        <w:tc>
          <w:tcPr>
            <w:tcW w:w="1580" w:type="dxa"/>
            <w:tcBorders>
              <w:top w:val="nil"/>
              <w:left w:val="nil"/>
              <w:bottom w:val="single" w:sz="4" w:space="0" w:color="B4C7E7"/>
              <w:right w:val="single" w:sz="4" w:space="0" w:color="B4C7E7"/>
            </w:tcBorders>
            <w:noWrap/>
            <w:vAlign w:val="center"/>
            <w:hideMark/>
          </w:tcPr>
          <w:p w14:paraId="44B5BDFD"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70.4</w:t>
            </w:r>
          </w:p>
        </w:tc>
        <w:tc>
          <w:tcPr>
            <w:tcW w:w="1580" w:type="dxa"/>
            <w:tcBorders>
              <w:top w:val="nil"/>
              <w:left w:val="nil"/>
              <w:bottom w:val="single" w:sz="4" w:space="0" w:color="B4C7E7"/>
              <w:right w:val="single" w:sz="4" w:space="0" w:color="B4C7E7"/>
            </w:tcBorders>
            <w:noWrap/>
            <w:vAlign w:val="center"/>
            <w:hideMark/>
          </w:tcPr>
          <w:p w14:paraId="0B466FC0"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70.2</w:t>
            </w:r>
          </w:p>
        </w:tc>
      </w:tr>
      <w:tr w:rsidR="00F95B54" w14:paraId="5CB95E27"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4CAA3B40"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39AFE376"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Macro-F1</w:t>
            </w:r>
          </w:p>
        </w:tc>
        <w:tc>
          <w:tcPr>
            <w:tcW w:w="1580" w:type="dxa"/>
            <w:tcBorders>
              <w:top w:val="nil"/>
              <w:left w:val="nil"/>
              <w:bottom w:val="single" w:sz="4" w:space="0" w:color="B4C7E7"/>
              <w:right w:val="single" w:sz="4" w:space="0" w:color="B4C7E7"/>
            </w:tcBorders>
            <w:noWrap/>
            <w:vAlign w:val="center"/>
            <w:hideMark/>
          </w:tcPr>
          <w:p w14:paraId="2BB5FE36"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66.7</w:t>
            </w:r>
          </w:p>
        </w:tc>
        <w:tc>
          <w:tcPr>
            <w:tcW w:w="1580" w:type="dxa"/>
            <w:tcBorders>
              <w:top w:val="nil"/>
              <w:left w:val="nil"/>
              <w:bottom w:val="single" w:sz="4" w:space="0" w:color="B4C7E7"/>
              <w:right w:val="single" w:sz="4" w:space="0" w:color="B4C7E7"/>
            </w:tcBorders>
            <w:noWrap/>
            <w:vAlign w:val="center"/>
            <w:hideMark/>
          </w:tcPr>
          <w:p w14:paraId="7FE61702"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66.9</w:t>
            </w:r>
          </w:p>
        </w:tc>
        <w:tc>
          <w:tcPr>
            <w:tcW w:w="1580" w:type="dxa"/>
            <w:tcBorders>
              <w:top w:val="nil"/>
              <w:left w:val="nil"/>
              <w:bottom w:val="single" w:sz="4" w:space="0" w:color="B4C7E7"/>
              <w:right w:val="single" w:sz="4" w:space="0" w:color="B4C7E7"/>
            </w:tcBorders>
            <w:noWrap/>
            <w:vAlign w:val="center"/>
            <w:hideMark/>
          </w:tcPr>
          <w:p w14:paraId="390DAD2D"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67.0</w:t>
            </w:r>
          </w:p>
        </w:tc>
      </w:tr>
      <w:tr w:rsidR="00F95B54" w14:paraId="553F6EB3" w14:textId="77777777" w:rsidTr="00F95B54">
        <w:trPr>
          <w:trHeight w:val="300"/>
        </w:trPr>
        <w:tc>
          <w:tcPr>
            <w:tcW w:w="2840" w:type="dxa"/>
            <w:vMerge w:val="restart"/>
            <w:tcBorders>
              <w:top w:val="nil"/>
              <w:left w:val="single" w:sz="4" w:space="0" w:color="B4C7E7"/>
              <w:bottom w:val="single" w:sz="4" w:space="0" w:color="B4C7E7"/>
              <w:right w:val="single" w:sz="4" w:space="0" w:color="B4C7E7"/>
            </w:tcBorders>
            <w:shd w:val="clear" w:color="000000" w:fill="EAF0F8"/>
            <w:vAlign w:val="center"/>
            <w:hideMark/>
          </w:tcPr>
          <w:p w14:paraId="4E5DF0F5" w14:textId="77777777" w:rsidR="00F95B54" w:rsidRPr="00BE18AA" w:rsidRDefault="00F95B54">
            <w:pPr>
              <w:jc w:val="center"/>
              <w:rPr>
                <w:rFonts w:ascii="Helvetica" w:hAnsi="Helvetica" w:cs="Helvetica"/>
                <w:b/>
                <w:bCs/>
                <w:color w:val="000000"/>
                <w:sz w:val="16"/>
                <w:szCs w:val="16"/>
              </w:rPr>
            </w:pPr>
            <w:r w:rsidRPr="00BE18AA">
              <w:rPr>
                <w:rFonts w:ascii="Helvetica" w:hAnsi="Helvetica" w:cs="Helvetica"/>
                <w:b/>
                <w:bCs/>
                <w:color w:val="000000"/>
                <w:sz w:val="16"/>
                <w:szCs w:val="16"/>
              </w:rPr>
              <w:t>Length + GC (LR)</w:t>
            </w:r>
          </w:p>
        </w:tc>
        <w:tc>
          <w:tcPr>
            <w:tcW w:w="2100" w:type="dxa"/>
            <w:tcBorders>
              <w:top w:val="nil"/>
              <w:left w:val="nil"/>
              <w:bottom w:val="single" w:sz="4" w:space="0" w:color="B4C7E7"/>
              <w:right w:val="single" w:sz="4" w:space="0" w:color="B4C7E7"/>
            </w:tcBorders>
            <w:vAlign w:val="center"/>
            <w:hideMark/>
          </w:tcPr>
          <w:p w14:paraId="04F1CB56"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Accuracy</w:t>
            </w:r>
          </w:p>
        </w:tc>
        <w:tc>
          <w:tcPr>
            <w:tcW w:w="1580" w:type="dxa"/>
            <w:tcBorders>
              <w:top w:val="nil"/>
              <w:left w:val="nil"/>
              <w:bottom w:val="single" w:sz="4" w:space="0" w:color="B4C7E7"/>
              <w:right w:val="single" w:sz="4" w:space="0" w:color="B4C7E7"/>
            </w:tcBorders>
            <w:noWrap/>
            <w:vAlign w:val="center"/>
            <w:hideMark/>
          </w:tcPr>
          <w:p w14:paraId="4B125E09"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77.2</w:t>
            </w:r>
          </w:p>
        </w:tc>
        <w:tc>
          <w:tcPr>
            <w:tcW w:w="1580" w:type="dxa"/>
            <w:tcBorders>
              <w:top w:val="nil"/>
              <w:left w:val="nil"/>
              <w:bottom w:val="single" w:sz="4" w:space="0" w:color="B4C7E7"/>
              <w:right w:val="single" w:sz="4" w:space="0" w:color="B4C7E7"/>
            </w:tcBorders>
            <w:noWrap/>
            <w:vAlign w:val="center"/>
            <w:hideMark/>
          </w:tcPr>
          <w:p w14:paraId="1AAE572A"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83.9</w:t>
            </w:r>
          </w:p>
        </w:tc>
        <w:tc>
          <w:tcPr>
            <w:tcW w:w="1580" w:type="dxa"/>
            <w:tcBorders>
              <w:top w:val="nil"/>
              <w:left w:val="nil"/>
              <w:bottom w:val="single" w:sz="4" w:space="0" w:color="B4C7E7"/>
              <w:right w:val="single" w:sz="4" w:space="0" w:color="B4C7E7"/>
            </w:tcBorders>
            <w:noWrap/>
            <w:vAlign w:val="center"/>
            <w:hideMark/>
          </w:tcPr>
          <w:p w14:paraId="2D529C35"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81.0</w:t>
            </w:r>
          </w:p>
        </w:tc>
      </w:tr>
      <w:tr w:rsidR="00F95B54" w14:paraId="3979687E"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7D86B3DF"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33AF72F7"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 xml:space="preserve">Balanced </w:t>
            </w:r>
            <w:proofErr w:type="spellStart"/>
            <w:r w:rsidRPr="00BE18AA">
              <w:rPr>
                <w:rFonts w:ascii="Helvetica" w:hAnsi="Helvetica" w:cs="Helvetica"/>
                <w:color w:val="000000"/>
                <w:sz w:val="16"/>
                <w:szCs w:val="16"/>
              </w:rPr>
              <w:t>accuracy</w:t>
            </w:r>
            <w:proofErr w:type="spellEnd"/>
          </w:p>
        </w:tc>
        <w:tc>
          <w:tcPr>
            <w:tcW w:w="1580" w:type="dxa"/>
            <w:tcBorders>
              <w:top w:val="nil"/>
              <w:left w:val="nil"/>
              <w:bottom w:val="single" w:sz="4" w:space="0" w:color="B4C7E7"/>
              <w:right w:val="single" w:sz="4" w:space="0" w:color="B4C7E7"/>
            </w:tcBorders>
            <w:noWrap/>
            <w:vAlign w:val="center"/>
            <w:hideMark/>
          </w:tcPr>
          <w:p w14:paraId="6CDA386E"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65.2</w:t>
            </w:r>
          </w:p>
        </w:tc>
        <w:tc>
          <w:tcPr>
            <w:tcW w:w="1580" w:type="dxa"/>
            <w:tcBorders>
              <w:top w:val="nil"/>
              <w:left w:val="nil"/>
              <w:bottom w:val="single" w:sz="4" w:space="0" w:color="B4C7E7"/>
              <w:right w:val="single" w:sz="4" w:space="0" w:color="B4C7E7"/>
            </w:tcBorders>
            <w:noWrap/>
            <w:vAlign w:val="center"/>
            <w:hideMark/>
          </w:tcPr>
          <w:p w14:paraId="0AB3D7D7"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70.9</w:t>
            </w:r>
          </w:p>
        </w:tc>
        <w:tc>
          <w:tcPr>
            <w:tcW w:w="1580" w:type="dxa"/>
            <w:tcBorders>
              <w:top w:val="nil"/>
              <w:left w:val="nil"/>
              <w:bottom w:val="single" w:sz="4" w:space="0" w:color="B4C7E7"/>
              <w:right w:val="single" w:sz="4" w:space="0" w:color="B4C7E7"/>
            </w:tcBorders>
            <w:noWrap/>
            <w:vAlign w:val="center"/>
            <w:hideMark/>
          </w:tcPr>
          <w:p w14:paraId="306BFA98"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67.9</w:t>
            </w:r>
          </w:p>
        </w:tc>
      </w:tr>
      <w:tr w:rsidR="00F95B54" w14:paraId="17312A1E"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01AA8A5C"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068AA412"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Macro-F1</w:t>
            </w:r>
          </w:p>
        </w:tc>
        <w:tc>
          <w:tcPr>
            <w:tcW w:w="1580" w:type="dxa"/>
            <w:tcBorders>
              <w:top w:val="nil"/>
              <w:left w:val="nil"/>
              <w:bottom w:val="single" w:sz="4" w:space="0" w:color="B4C7E7"/>
              <w:right w:val="single" w:sz="4" w:space="0" w:color="B4C7E7"/>
            </w:tcBorders>
            <w:noWrap/>
            <w:vAlign w:val="center"/>
            <w:hideMark/>
          </w:tcPr>
          <w:p w14:paraId="0FC5064F"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62.4</w:t>
            </w:r>
          </w:p>
        </w:tc>
        <w:tc>
          <w:tcPr>
            <w:tcW w:w="1580" w:type="dxa"/>
            <w:tcBorders>
              <w:top w:val="nil"/>
              <w:left w:val="nil"/>
              <w:bottom w:val="single" w:sz="4" w:space="0" w:color="B4C7E7"/>
              <w:right w:val="single" w:sz="4" w:space="0" w:color="B4C7E7"/>
            </w:tcBorders>
            <w:noWrap/>
            <w:vAlign w:val="center"/>
            <w:hideMark/>
          </w:tcPr>
          <w:p w14:paraId="148FBEEA"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65.2</w:t>
            </w:r>
          </w:p>
        </w:tc>
        <w:tc>
          <w:tcPr>
            <w:tcW w:w="1580" w:type="dxa"/>
            <w:tcBorders>
              <w:top w:val="nil"/>
              <w:left w:val="nil"/>
              <w:bottom w:val="single" w:sz="4" w:space="0" w:color="B4C7E7"/>
              <w:right w:val="single" w:sz="4" w:space="0" w:color="B4C7E7"/>
            </w:tcBorders>
            <w:noWrap/>
            <w:vAlign w:val="center"/>
            <w:hideMark/>
          </w:tcPr>
          <w:p w14:paraId="699BC067"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66.2</w:t>
            </w:r>
          </w:p>
        </w:tc>
      </w:tr>
      <w:tr w:rsidR="00F95B54" w14:paraId="5D44A8F8" w14:textId="77777777" w:rsidTr="00F95B54">
        <w:trPr>
          <w:trHeight w:val="300"/>
        </w:trPr>
        <w:tc>
          <w:tcPr>
            <w:tcW w:w="2840" w:type="dxa"/>
            <w:vMerge w:val="restart"/>
            <w:tcBorders>
              <w:top w:val="nil"/>
              <w:left w:val="single" w:sz="4" w:space="0" w:color="B4C7E7"/>
              <w:bottom w:val="single" w:sz="4" w:space="0" w:color="B4C7E7"/>
              <w:right w:val="single" w:sz="4" w:space="0" w:color="B4C7E7"/>
            </w:tcBorders>
            <w:shd w:val="clear" w:color="000000" w:fill="EAF0F8"/>
            <w:vAlign w:val="center"/>
            <w:hideMark/>
          </w:tcPr>
          <w:p w14:paraId="542971E7" w14:textId="77777777" w:rsidR="00F95B54" w:rsidRPr="00BE18AA" w:rsidRDefault="00F95B54">
            <w:pPr>
              <w:jc w:val="center"/>
              <w:rPr>
                <w:rFonts w:ascii="Helvetica" w:hAnsi="Helvetica" w:cs="Helvetica"/>
                <w:b/>
                <w:bCs/>
                <w:color w:val="000000"/>
                <w:sz w:val="16"/>
                <w:szCs w:val="16"/>
              </w:rPr>
            </w:pPr>
            <w:r w:rsidRPr="00BE18AA">
              <w:rPr>
                <w:rFonts w:ascii="Helvetica" w:hAnsi="Helvetica" w:cs="Helvetica"/>
                <w:b/>
                <w:bCs/>
                <w:color w:val="000000"/>
                <w:sz w:val="16"/>
                <w:szCs w:val="16"/>
              </w:rPr>
              <w:t>Length + N + GC (LR)</w:t>
            </w:r>
          </w:p>
        </w:tc>
        <w:tc>
          <w:tcPr>
            <w:tcW w:w="2100" w:type="dxa"/>
            <w:tcBorders>
              <w:top w:val="nil"/>
              <w:left w:val="nil"/>
              <w:bottom w:val="single" w:sz="4" w:space="0" w:color="B4C7E7"/>
              <w:right w:val="single" w:sz="4" w:space="0" w:color="B4C7E7"/>
            </w:tcBorders>
            <w:vAlign w:val="center"/>
            <w:hideMark/>
          </w:tcPr>
          <w:p w14:paraId="55037CD0"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Accuracy</w:t>
            </w:r>
          </w:p>
        </w:tc>
        <w:tc>
          <w:tcPr>
            <w:tcW w:w="1580" w:type="dxa"/>
            <w:tcBorders>
              <w:top w:val="nil"/>
              <w:left w:val="nil"/>
              <w:bottom w:val="single" w:sz="4" w:space="0" w:color="B4C7E7"/>
              <w:right w:val="single" w:sz="4" w:space="0" w:color="B4C7E7"/>
            </w:tcBorders>
            <w:noWrap/>
            <w:vAlign w:val="center"/>
            <w:hideMark/>
          </w:tcPr>
          <w:p w14:paraId="01D825DC"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77.4</w:t>
            </w:r>
          </w:p>
        </w:tc>
        <w:tc>
          <w:tcPr>
            <w:tcW w:w="1580" w:type="dxa"/>
            <w:tcBorders>
              <w:top w:val="nil"/>
              <w:left w:val="nil"/>
              <w:bottom w:val="single" w:sz="4" w:space="0" w:color="B4C7E7"/>
              <w:right w:val="single" w:sz="4" w:space="0" w:color="B4C7E7"/>
            </w:tcBorders>
            <w:noWrap/>
            <w:vAlign w:val="center"/>
            <w:hideMark/>
          </w:tcPr>
          <w:p w14:paraId="5C312AC8"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83.9</w:t>
            </w:r>
          </w:p>
        </w:tc>
        <w:tc>
          <w:tcPr>
            <w:tcW w:w="1580" w:type="dxa"/>
            <w:tcBorders>
              <w:top w:val="nil"/>
              <w:left w:val="nil"/>
              <w:bottom w:val="single" w:sz="4" w:space="0" w:color="B4C7E7"/>
              <w:right w:val="single" w:sz="4" w:space="0" w:color="B4C7E7"/>
            </w:tcBorders>
            <w:noWrap/>
            <w:vAlign w:val="center"/>
            <w:hideMark/>
          </w:tcPr>
          <w:p w14:paraId="65432DE5"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81.0</w:t>
            </w:r>
          </w:p>
        </w:tc>
      </w:tr>
      <w:tr w:rsidR="00F95B54" w14:paraId="71E8792C"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2E1318D2"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2DAC0B41"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 xml:space="preserve">Balanced </w:t>
            </w:r>
            <w:proofErr w:type="spellStart"/>
            <w:r w:rsidRPr="00BE18AA">
              <w:rPr>
                <w:rFonts w:ascii="Helvetica" w:hAnsi="Helvetica" w:cs="Helvetica"/>
                <w:color w:val="000000"/>
                <w:sz w:val="16"/>
                <w:szCs w:val="16"/>
              </w:rPr>
              <w:t>accuracy</w:t>
            </w:r>
            <w:proofErr w:type="spellEnd"/>
          </w:p>
        </w:tc>
        <w:tc>
          <w:tcPr>
            <w:tcW w:w="1580" w:type="dxa"/>
            <w:tcBorders>
              <w:top w:val="nil"/>
              <w:left w:val="nil"/>
              <w:bottom w:val="single" w:sz="4" w:space="0" w:color="B4C7E7"/>
              <w:right w:val="single" w:sz="4" w:space="0" w:color="B4C7E7"/>
            </w:tcBorders>
            <w:noWrap/>
            <w:vAlign w:val="center"/>
            <w:hideMark/>
          </w:tcPr>
          <w:p w14:paraId="3C3883B9"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66.3</w:t>
            </w:r>
          </w:p>
        </w:tc>
        <w:tc>
          <w:tcPr>
            <w:tcW w:w="1580" w:type="dxa"/>
            <w:tcBorders>
              <w:top w:val="nil"/>
              <w:left w:val="nil"/>
              <w:bottom w:val="single" w:sz="4" w:space="0" w:color="B4C7E7"/>
              <w:right w:val="single" w:sz="4" w:space="0" w:color="B4C7E7"/>
            </w:tcBorders>
            <w:noWrap/>
            <w:vAlign w:val="center"/>
            <w:hideMark/>
          </w:tcPr>
          <w:p w14:paraId="5F221224"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71.3</w:t>
            </w:r>
          </w:p>
        </w:tc>
        <w:tc>
          <w:tcPr>
            <w:tcW w:w="1580" w:type="dxa"/>
            <w:tcBorders>
              <w:top w:val="nil"/>
              <w:left w:val="nil"/>
              <w:bottom w:val="single" w:sz="4" w:space="0" w:color="B4C7E7"/>
              <w:right w:val="single" w:sz="4" w:space="0" w:color="B4C7E7"/>
            </w:tcBorders>
            <w:noWrap/>
            <w:vAlign w:val="center"/>
            <w:hideMark/>
          </w:tcPr>
          <w:p w14:paraId="391EE949"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68.6</w:t>
            </w:r>
          </w:p>
        </w:tc>
      </w:tr>
      <w:tr w:rsidR="00F95B54" w14:paraId="56582409"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7E7D7D26"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2F3717DD"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Macro-F1</w:t>
            </w:r>
          </w:p>
        </w:tc>
        <w:tc>
          <w:tcPr>
            <w:tcW w:w="1580" w:type="dxa"/>
            <w:tcBorders>
              <w:top w:val="nil"/>
              <w:left w:val="nil"/>
              <w:bottom w:val="single" w:sz="4" w:space="0" w:color="B4C7E7"/>
              <w:right w:val="single" w:sz="4" w:space="0" w:color="B4C7E7"/>
            </w:tcBorders>
            <w:noWrap/>
            <w:vAlign w:val="center"/>
            <w:hideMark/>
          </w:tcPr>
          <w:p w14:paraId="6F9B32E7"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63.5</w:t>
            </w:r>
          </w:p>
        </w:tc>
        <w:tc>
          <w:tcPr>
            <w:tcW w:w="1580" w:type="dxa"/>
            <w:tcBorders>
              <w:top w:val="nil"/>
              <w:left w:val="nil"/>
              <w:bottom w:val="single" w:sz="4" w:space="0" w:color="B4C7E7"/>
              <w:right w:val="single" w:sz="4" w:space="0" w:color="B4C7E7"/>
            </w:tcBorders>
            <w:noWrap/>
            <w:vAlign w:val="center"/>
            <w:hideMark/>
          </w:tcPr>
          <w:p w14:paraId="2FFCBBE9"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65.5</w:t>
            </w:r>
          </w:p>
        </w:tc>
        <w:tc>
          <w:tcPr>
            <w:tcW w:w="1580" w:type="dxa"/>
            <w:tcBorders>
              <w:top w:val="nil"/>
              <w:left w:val="nil"/>
              <w:bottom w:val="single" w:sz="4" w:space="0" w:color="B4C7E7"/>
              <w:right w:val="single" w:sz="4" w:space="0" w:color="B4C7E7"/>
            </w:tcBorders>
            <w:noWrap/>
            <w:vAlign w:val="center"/>
            <w:hideMark/>
          </w:tcPr>
          <w:p w14:paraId="0DC19404"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67.2</w:t>
            </w:r>
          </w:p>
        </w:tc>
      </w:tr>
      <w:tr w:rsidR="00F95B54" w14:paraId="357F76E0" w14:textId="77777777" w:rsidTr="00F95B54">
        <w:trPr>
          <w:trHeight w:val="300"/>
        </w:trPr>
        <w:tc>
          <w:tcPr>
            <w:tcW w:w="2840" w:type="dxa"/>
            <w:vMerge w:val="restart"/>
            <w:tcBorders>
              <w:top w:val="nil"/>
              <w:left w:val="single" w:sz="4" w:space="0" w:color="B4C7E7"/>
              <w:bottom w:val="single" w:sz="4" w:space="0" w:color="B4C7E7"/>
              <w:right w:val="single" w:sz="4" w:space="0" w:color="B4C7E7"/>
            </w:tcBorders>
            <w:shd w:val="clear" w:color="000000" w:fill="EAF0F8"/>
            <w:vAlign w:val="center"/>
            <w:hideMark/>
          </w:tcPr>
          <w:p w14:paraId="0E6B4B28" w14:textId="77777777" w:rsidR="00F95B54" w:rsidRPr="00BE18AA" w:rsidRDefault="00F95B54">
            <w:pPr>
              <w:jc w:val="center"/>
              <w:rPr>
                <w:rFonts w:ascii="Helvetica" w:hAnsi="Helvetica" w:cs="Helvetica"/>
                <w:b/>
                <w:bCs/>
                <w:color w:val="000000"/>
                <w:sz w:val="16"/>
                <w:szCs w:val="16"/>
              </w:rPr>
            </w:pPr>
            <w:r w:rsidRPr="00BE18AA">
              <w:rPr>
                <w:rFonts w:ascii="Helvetica" w:hAnsi="Helvetica" w:cs="Helvetica"/>
                <w:b/>
                <w:bCs/>
                <w:color w:val="000000"/>
                <w:sz w:val="16"/>
                <w:szCs w:val="16"/>
              </w:rPr>
              <w:t>All quality features (LR)</w:t>
            </w:r>
          </w:p>
        </w:tc>
        <w:tc>
          <w:tcPr>
            <w:tcW w:w="2100" w:type="dxa"/>
            <w:tcBorders>
              <w:top w:val="nil"/>
              <w:left w:val="nil"/>
              <w:bottom w:val="single" w:sz="4" w:space="0" w:color="B4C7E7"/>
              <w:right w:val="single" w:sz="4" w:space="0" w:color="B4C7E7"/>
            </w:tcBorders>
            <w:vAlign w:val="center"/>
            <w:hideMark/>
          </w:tcPr>
          <w:p w14:paraId="452F07DC"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Accuracy</w:t>
            </w:r>
          </w:p>
        </w:tc>
        <w:tc>
          <w:tcPr>
            <w:tcW w:w="1580" w:type="dxa"/>
            <w:tcBorders>
              <w:top w:val="nil"/>
              <w:left w:val="nil"/>
              <w:bottom w:val="single" w:sz="4" w:space="0" w:color="B4C7E7"/>
              <w:right w:val="single" w:sz="4" w:space="0" w:color="B4C7E7"/>
            </w:tcBorders>
            <w:noWrap/>
            <w:vAlign w:val="center"/>
            <w:hideMark/>
          </w:tcPr>
          <w:p w14:paraId="384D63F4"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77.8</w:t>
            </w:r>
          </w:p>
        </w:tc>
        <w:tc>
          <w:tcPr>
            <w:tcW w:w="1580" w:type="dxa"/>
            <w:tcBorders>
              <w:top w:val="nil"/>
              <w:left w:val="nil"/>
              <w:bottom w:val="single" w:sz="4" w:space="0" w:color="B4C7E7"/>
              <w:right w:val="single" w:sz="4" w:space="0" w:color="B4C7E7"/>
            </w:tcBorders>
            <w:noWrap/>
            <w:vAlign w:val="center"/>
            <w:hideMark/>
          </w:tcPr>
          <w:p w14:paraId="0C006A1A"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83.9</w:t>
            </w:r>
          </w:p>
        </w:tc>
        <w:tc>
          <w:tcPr>
            <w:tcW w:w="1580" w:type="dxa"/>
            <w:tcBorders>
              <w:top w:val="nil"/>
              <w:left w:val="nil"/>
              <w:bottom w:val="single" w:sz="4" w:space="0" w:color="B4C7E7"/>
              <w:right w:val="single" w:sz="4" w:space="0" w:color="B4C7E7"/>
            </w:tcBorders>
            <w:noWrap/>
            <w:vAlign w:val="center"/>
            <w:hideMark/>
          </w:tcPr>
          <w:p w14:paraId="06F30E7D"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81.0</w:t>
            </w:r>
          </w:p>
        </w:tc>
      </w:tr>
      <w:tr w:rsidR="00F95B54" w14:paraId="11112E3C"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76004251"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02FD208E"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 xml:space="preserve">Balanced </w:t>
            </w:r>
            <w:proofErr w:type="spellStart"/>
            <w:r w:rsidRPr="00BE18AA">
              <w:rPr>
                <w:rFonts w:ascii="Helvetica" w:hAnsi="Helvetica" w:cs="Helvetica"/>
                <w:color w:val="000000"/>
                <w:sz w:val="16"/>
                <w:szCs w:val="16"/>
              </w:rPr>
              <w:t>accuracy</w:t>
            </w:r>
            <w:proofErr w:type="spellEnd"/>
          </w:p>
        </w:tc>
        <w:tc>
          <w:tcPr>
            <w:tcW w:w="1580" w:type="dxa"/>
            <w:tcBorders>
              <w:top w:val="nil"/>
              <w:left w:val="nil"/>
              <w:bottom w:val="single" w:sz="4" w:space="0" w:color="B4C7E7"/>
              <w:right w:val="single" w:sz="4" w:space="0" w:color="B4C7E7"/>
            </w:tcBorders>
            <w:noWrap/>
            <w:vAlign w:val="center"/>
            <w:hideMark/>
          </w:tcPr>
          <w:p w14:paraId="43D69644"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66.6</w:t>
            </w:r>
          </w:p>
        </w:tc>
        <w:tc>
          <w:tcPr>
            <w:tcW w:w="1580" w:type="dxa"/>
            <w:tcBorders>
              <w:top w:val="nil"/>
              <w:left w:val="nil"/>
              <w:bottom w:val="single" w:sz="4" w:space="0" w:color="B4C7E7"/>
              <w:right w:val="single" w:sz="4" w:space="0" w:color="B4C7E7"/>
            </w:tcBorders>
            <w:noWrap/>
            <w:vAlign w:val="center"/>
            <w:hideMark/>
          </w:tcPr>
          <w:p w14:paraId="1A4F8EC4"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71.3</w:t>
            </w:r>
          </w:p>
        </w:tc>
        <w:tc>
          <w:tcPr>
            <w:tcW w:w="1580" w:type="dxa"/>
            <w:tcBorders>
              <w:top w:val="nil"/>
              <w:left w:val="nil"/>
              <w:bottom w:val="single" w:sz="4" w:space="0" w:color="B4C7E7"/>
              <w:right w:val="single" w:sz="4" w:space="0" w:color="B4C7E7"/>
            </w:tcBorders>
            <w:noWrap/>
            <w:vAlign w:val="center"/>
            <w:hideMark/>
          </w:tcPr>
          <w:p w14:paraId="7924BA6F"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68.6</w:t>
            </w:r>
          </w:p>
        </w:tc>
      </w:tr>
      <w:tr w:rsidR="00F95B54" w14:paraId="14E90F5D"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5B277BA7"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14BF96EE"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Macro-F1</w:t>
            </w:r>
          </w:p>
        </w:tc>
        <w:tc>
          <w:tcPr>
            <w:tcW w:w="1580" w:type="dxa"/>
            <w:tcBorders>
              <w:top w:val="nil"/>
              <w:left w:val="nil"/>
              <w:bottom w:val="single" w:sz="4" w:space="0" w:color="B4C7E7"/>
              <w:right w:val="single" w:sz="4" w:space="0" w:color="B4C7E7"/>
            </w:tcBorders>
            <w:noWrap/>
            <w:vAlign w:val="center"/>
            <w:hideMark/>
          </w:tcPr>
          <w:p w14:paraId="150DD319"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63.6</w:t>
            </w:r>
          </w:p>
        </w:tc>
        <w:tc>
          <w:tcPr>
            <w:tcW w:w="1580" w:type="dxa"/>
            <w:tcBorders>
              <w:top w:val="nil"/>
              <w:left w:val="nil"/>
              <w:bottom w:val="single" w:sz="4" w:space="0" w:color="B4C7E7"/>
              <w:right w:val="single" w:sz="4" w:space="0" w:color="B4C7E7"/>
            </w:tcBorders>
            <w:noWrap/>
            <w:vAlign w:val="center"/>
            <w:hideMark/>
          </w:tcPr>
          <w:p w14:paraId="4E68271F"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65.6</w:t>
            </w:r>
          </w:p>
        </w:tc>
        <w:tc>
          <w:tcPr>
            <w:tcW w:w="1580" w:type="dxa"/>
            <w:tcBorders>
              <w:top w:val="nil"/>
              <w:left w:val="nil"/>
              <w:bottom w:val="single" w:sz="4" w:space="0" w:color="B4C7E7"/>
              <w:right w:val="single" w:sz="4" w:space="0" w:color="B4C7E7"/>
            </w:tcBorders>
            <w:noWrap/>
            <w:vAlign w:val="center"/>
            <w:hideMark/>
          </w:tcPr>
          <w:p w14:paraId="0CB19D37"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67.2</w:t>
            </w:r>
          </w:p>
        </w:tc>
      </w:tr>
      <w:tr w:rsidR="00F95B54" w14:paraId="0078F8C5" w14:textId="77777777" w:rsidTr="00F95B54">
        <w:trPr>
          <w:trHeight w:val="300"/>
        </w:trPr>
        <w:tc>
          <w:tcPr>
            <w:tcW w:w="2840" w:type="dxa"/>
            <w:vMerge w:val="restart"/>
            <w:tcBorders>
              <w:top w:val="nil"/>
              <w:left w:val="single" w:sz="4" w:space="0" w:color="B4C7E7"/>
              <w:bottom w:val="single" w:sz="4" w:space="0" w:color="B4C7E7"/>
              <w:right w:val="single" w:sz="4" w:space="0" w:color="B4C7E7"/>
            </w:tcBorders>
            <w:shd w:val="clear" w:color="000000" w:fill="EAF0F8"/>
            <w:vAlign w:val="center"/>
            <w:hideMark/>
          </w:tcPr>
          <w:p w14:paraId="4BFF2818" w14:textId="77777777" w:rsidR="00F95B54" w:rsidRPr="00BE18AA" w:rsidRDefault="00F95B54">
            <w:pPr>
              <w:jc w:val="center"/>
              <w:rPr>
                <w:rFonts w:ascii="Helvetica" w:hAnsi="Helvetica" w:cs="Helvetica"/>
                <w:b/>
                <w:bCs/>
                <w:color w:val="000000"/>
                <w:sz w:val="16"/>
                <w:szCs w:val="16"/>
              </w:rPr>
            </w:pPr>
            <w:r w:rsidRPr="00BE18AA">
              <w:rPr>
                <w:rFonts w:ascii="Helvetica" w:hAnsi="Helvetica" w:cs="Helvetica"/>
                <w:b/>
                <w:bCs/>
                <w:color w:val="000000"/>
                <w:sz w:val="16"/>
                <w:szCs w:val="16"/>
              </w:rPr>
              <w:t>All quality features (HGB)</w:t>
            </w:r>
          </w:p>
        </w:tc>
        <w:tc>
          <w:tcPr>
            <w:tcW w:w="2100" w:type="dxa"/>
            <w:tcBorders>
              <w:top w:val="nil"/>
              <w:left w:val="nil"/>
              <w:bottom w:val="single" w:sz="4" w:space="0" w:color="B4C7E7"/>
              <w:right w:val="single" w:sz="4" w:space="0" w:color="B4C7E7"/>
            </w:tcBorders>
            <w:vAlign w:val="center"/>
            <w:hideMark/>
          </w:tcPr>
          <w:p w14:paraId="16B1FB3C"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Accuracy</w:t>
            </w:r>
          </w:p>
        </w:tc>
        <w:tc>
          <w:tcPr>
            <w:tcW w:w="1580" w:type="dxa"/>
            <w:tcBorders>
              <w:top w:val="nil"/>
              <w:left w:val="nil"/>
              <w:bottom w:val="single" w:sz="4" w:space="0" w:color="B4C7E7"/>
              <w:right w:val="single" w:sz="4" w:space="0" w:color="B4C7E7"/>
            </w:tcBorders>
            <w:noWrap/>
            <w:vAlign w:val="center"/>
            <w:hideMark/>
          </w:tcPr>
          <w:p w14:paraId="44FFF075"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78.6</w:t>
            </w:r>
          </w:p>
        </w:tc>
        <w:tc>
          <w:tcPr>
            <w:tcW w:w="1580" w:type="dxa"/>
            <w:tcBorders>
              <w:top w:val="nil"/>
              <w:left w:val="nil"/>
              <w:bottom w:val="single" w:sz="4" w:space="0" w:color="B4C7E7"/>
              <w:right w:val="single" w:sz="4" w:space="0" w:color="B4C7E7"/>
            </w:tcBorders>
            <w:noWrap/>
            <w:vAlign w:val="center"/>
            <w:hideMark/>
          </w:tcPr>
          <w:p w14:paraId="29B8932B"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88.1</w:t>
            </w:r>
          </w:p>
        </w:tc>
        <w:tc>
          <w:tcPr>
            <w:tcW w:w="1580" w:type="dxa"/>
            <w:tcBorders>
              <w:top w:val="nil"/>
              <w:left w:val="nil"/>
              <w:bottom w:val="single" w:sz="4" w:space="0" w:color="B4C7E7"/>
              <w:right w:val="single" w:sz="4" w:space="0" w:color="B4C7E7"/>
            </w:tcBorders>
            <w:noWrap/>
            <w:vAlign w:val="center"/>
            <w:hideMark/>
          </w:tcPr>
          <w:p w14:paraId="28F2AA38"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85.9</w:t>
            </w:r>
          </w:p>
        </w:tc>
      </w:tr>
      <w:tr w:rsidR="00F95B54" w14:paraId="505A9038"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3BEC498D"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72CE7199"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 xml:space="preserve">Balanced </w:t>
            </w:r>
            <w:proofErr w:type="spellStart"/>
            <w:r w:rsidRPr="00BE18AA">
              <w:rPr>
                <w:rFonts w:ascii="Helvetica" w:hAnsi="Helvetica" w:cs="Helvetica"/>
                <w:color w:val="000000"/>
                <w:sz w:val="16"/>
                <w:szCs w:val="16"/>
              </w:rPr>
              <w:t>accuracy</w:t>
            </w:r>
            <w:proofErr w:type="spellEnd"/>
          </w:p>
        </w:tc>
        <w:tc>
          <w:tcPr>
            <w:tcW w:w="1580" w:type="dxa"/>
            <w:tcBorders>
              <w:top w:val="nil"/>
              <w:left w:val="nil"/>
              <w:bottom w:val="single" w:sz="4" w:space="0" w:color="B4C7E7"/>
              <w:right w:val="single" w:sz="4" w:space="0" w:color="B4C7E7"/>
            </w:tcBorders>
            <w:noWrap/>
            <w:vAlign w:val="center"/>
            <w:hideMark/>
          </w:tcPr>
          <w:p w14:paraId="74E8FBE8"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75.6</w:t>
            </w:r>
          </w:p>
        </w:tc>
        <w:tc>
          <w:tcPr>
            <w:tcW w:w="1580" w:type="dxa"/>
            <w:tcBorders>
              <w:top w:val="nil"/>
              <w:left w:val="nil"/>
              <w:bottom w:val="single" w:sz="4" w:space="0" w:color="B4C7E7"/>
              <w:right w:val="single" w:sz="4" w:space="0" w:color="B4C7E7"/>
            </w:tcBorders>
            <w:noWrap/>
            <w:vAlign w:val="center"/>
            <w:hideMark/>
          </w:tcPr>
          <w:p w14:paraId="2914E0E7"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83.1</w:t>
            </w:r>
          </w:p>
        </w:tc>
        <w:tc>
          <w:tcPr>
            <w:tcW w:w="1580" w:type="dxa"/>
            <w:tcBorders>
              <w:top w:val="nil"/>
              <w:left w:val="nil"/>
              <w:bottom w:val="single" w:sz="4" w:space="0" w:color="B4C7E7"/>
              <w:right w:val="single" w:sz="4" w:space="0" w:color="B4C7E7"/>
            </w:tcBorders>
            <w:noWrap/>
            <w:vAlign w:val="center"/>
            <w:hideMark/>
          </w:tcPr>
          <w:p w14:paraId="2104CDDE"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81.5</w:t>
            </w:r>
          </w:p>
        </w:tc>
      </w:tr>
      <w:tr w:rsidR="00F95B54" w14:paraId="3B1BFE5D" w14:textId="77777777" w:rsidTr="00F95B54">
        <w:trPr>
          <w:trHeight w:val="300"/>
        </w:trPr>
        <w:tc>
          <w:tcPr>
            <w:tcW w:w="2840" w:type="dxa"/>
            <w:vMerge/>
            <w:tcBorders>
              <w:top w:val="nil"/>
              <w:left w:val="single" w:sz="4" w:space="0" w:color="B4C7E7"/>
              <w:bottom w:val="single" w:sz="4" w:space="0" w:color="B4C7E7"/>
              <w:right w:val="single" w:sz="4" w:space="0" w:color="B4C7E7"/>
            </w:tcBorders>
            <w:vAlign w:val="center"/>
            <w:hideMark/>
          </w:tcPr>
          <w:p w14:paraId="3D5B94A1" w14:textId="77777777" w:rsidR="00F95B54" w:rsidRPr="00BE18AA" w:rsidRDefault="00F95B54">
            <w:pPr>
              <w:rPr>
                <w:rFonts w:ascii="Helvetica" w:hAnsi="Helvetica" w:cs="Helvetica"/>
                <w:b/>
                <w:bCs/>
                <w:color w:val="000000"/>
                <w:sz w:val="16"/>
                <w:szCs w:val="16"/>
              </w:rPr>
            </w:pPr>
          </w:p>
        </w:tc>
        <w:tc>
          <w:tcPr>
            <w:tcW w:w="2100" w:type="dxa"/>
            <w:tcBorders>
              <w:top w:val="nil"/>
              <w:left w:val="nil"/>
              <w:bottom w:val="single" w:sz="4" w:space="0" w:color="B4C7E7"/>
              <w:right w:val="single" w:sz="4" w:space="0" w:color="B4C7E7"/>
            </w:tcBorders>
            <w:vAlign w:val="center"/>
            <w:hideMark/>
          </w:tcPr>
          <w:p w14:paraId="7D61A79F"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Macro-F1</w:t>
            </w:r>
          </w:p>
        </w:tc>
        <w:tc>
          <w:tcPr>
            <w:tcW w:w="1580" w:type="dxa"/>
            <w:tcBorders>
              <w:top w:val="nil"/>
              <w:left w:val="nil"/>
              <w:bottom w:val="single" w:sz="4" w:space="0" w:color="B4C7E7"/>
              <w:right w:val="single" w:sz="4" w:space="0" w:color="B4C7E7"/>
            </w:tcBorders>
            <w:noWrap/>
            <w:vAlign w:val="center"/>
            <w:hideMark/>
          </w:tcPr>
          <w:p w14:paraId="26687560"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74.7</w:t>
            </w:r>
          </w:p>
        </w:tc>
        <w:tc>
          <w:tcPr>
            <w:tcW w:w="1580" w:type="dxa"/>
            <w:tcBorders>
              <w:top w:val="nil"/>
              <w:left w:val="nil"/>
              <w:bottom w:val="single" w:sz="4" w:space="0" w:color="B4C7E7"/>
              <w:right w:val="single" w:sz="4" w:space="0" w:color="B4C7E7"/>
            </w:tcBorders>
            <w:noWrap/>
            <w:vAlign w:val="center"/>
            <w:hideMark/>
          </w:tcPr>
          <w:p w14:paraId="106BAC09"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83.6</w:t>
            </w:r>
          </w:p>
        </w:tc>
        <w:tc>
          <w:tcPr>
            <w:tcW w:w="1580" w:type="dxa"/>
            <w:tcBorders>
              <w:top w:val="nil"/>
              <w:left w:val="nil"/>
              <w:bottom w:val="single" w:sz="4" w:space="0" w:color="B4C7E7"/>
              <w:right w:val="single" w:sz="4" w:space="0" w:color="B4C7E7"/>
            </w:tcBorders>
            <w:noWrap/>
            <w:vAlign w:val="center"/>
            <w:hideMark/>
          </w:tcPr>
          <w:p w14:paraId="0DB385AD" w14:textId="77777777" w:rsidR="00F95B54" w:rsidRPr="00BE18AA" w:rsidRDefault="00F95B54" w:rsidP="00D726BA">
            <w:pPr>
              <w:jc w:val="center"/>
              <w:rPr>
                <w:rFonts w:ascii="Helvetica" w:hAnsi="Helvetica" w:cs="Helvetica"/>
                <w:color w:val="000000"/>
                <w:sz w:val="16"/>
                <w:szCs w:val="16"/>
              </w:rPr>
            </w:pPr>
            <w:r w:rsidRPr="00BE18AA">
              <w:rPr>
                <w:rFonts w:ascii="Helvetica" w:hAnsi="Helvetica" w:cs="Helvetica"/>
                <w:color w:val="000000"/>
                <w:sz w:val="16"/>
                <w:szCs w:val="16"/>
              </w:rPr>
              <w:t>81.8</w:t>
            </w:r>
          </w:p>
        </w:tc>
      </w:tr>
    </w:tbl>
    <w:p w14:paraId="48011AC4" w14:textId="77777777" w:rsidR="00E55762" w:rsidRDefault="00E55762">
      <w:pPr>
        <w:rPr>
          <w:rFonts w:ascii="Helvetica" w:hAnsi="Helvetica" w:cs="Helvetica"/>
          <w:sz w:val="20"/>
          <w:szCs w:val="20"/>
          <w:lang w:val="en-GB"/>
        </w:rPr>
      </w:pPr>
    </w:p>
    <w:p w14:paraId="62003378" w14:textId="4FDE1F70" w:rsidR="00E55762" w:rsidRDefault="00E55762">
      <w:pPr>
        <w:rPr>
          <w:rFonts w:ascii="Helvetica" w:hAnsi="Helvetica" w:cs="Helvetica"/>
          <w:sz w:val="20"/>
          <w:szCs w:val="20"/>
          <w:lang w:val="en-GB"/>
        </w:rPr>
      </w:pPr>
      <w:r>
        <w:rPr>
          <w:rFonts w:ascii="Helvetica" w:hAnsi="Helvetica" w:cs="Helvetica"/>
          <w:sz w:val="20"/>
          <w:szCs w:val="20"/>
          <w:lang w:val="en-GB"/>
        </w:rPr>
        <w:br w:type="page"/>
      </w:r>
    </w:p>
    <w:p w14:paraId="31A912DD" w14:textId="77777777" w:rsidR="00E55762" w:rsidRDefault="00E55762" w:rsidP="001E4D4A">
      <w:pPr>
        <w:rPr>
          <w:rFonts w:ascii="Helvetica" w:hAnsi="Helvetica" w:cs="Helvetica"/>
          <w:sz w:val="20"/>
          <w:szCs w:val="20"/>
          <w:lang w:val="en-GB"/>
        </w:rPr>
      </w:pPr>
    </w:p>
    <w:p w14:paraId="11DB9901" w14:textId="7CA06B3C" w:rsidR="00743A65" w:rsidRPr="006761BC" w:rsidRDefault="00743A65" w:rsidP="000B040B">
      <w:pPr>
        <w:spacing w:line="480" w:lineRule="auto"/>
        <w:jc w:val="both"/>
        <w:rPr>
          <w:rFonts w:ascii="Helvetica" w:hAnsi="Helvetica" w:cs="Helvetica"/>
          <w:sz w:val="18"/>
          <w:szCs w:val="18"/>
          <w:lang w:val="en-GB"/>
        </w:rPr>
      </w:pPr>
      <w:r w:rsidRPr="00743A65">
        <w:rPr>
          <w:rFonts w:ascii="Helvetica" w:hAnsi="Helvetica" w:cs="Helvetica"/>
          <w:b/>
          <w:bCs/>
          <w:sz w:val="18"/>
          <w:szCs w:val="18"/>
          <w:lang w:val="en-GB"/>
        </w:rPr>
        <w:t>Table S</w:t>
      </w:r>
      <w:r w:rsidR="00E55762">
        <w:rPr>
          <w:rFonts w:ascii="Helvetica" w:hAnsi="Helvetica" w:cs="Helvetica"/>
          <w:b/>
          <w:bCs/>
          <w:sz w:val="18"/>
          <w:szCs w:val="18"/>
          <w:lang w:val="en-GB"/>
        </w:rPr>
        <w:t>2</w:t>
      </w:r>
      <w:r w:rsidRPr="00743A65">
        <w:rPr>
          <w:rFonts w:ascii="Helvetica" w:hAnsi="Helvetica" w:cs="Helvetica"/>
          <w:b/>
          <w:bCs/>
          <w:sz w:val="18"/>
          <w:szCs w:val="18"/>
          <w:lang w:val="en-GB"/>
        </w:rPr>
        <w:t xml:space="preserve">. </w:t>
      </w:r>
      <w:r w:rsidR="006761BC" w:rsidRPr="006761BC">
        <w:rPr>
          <w:rFonts w:ascii="Helvetica" w:hAnsi="Helvetica" w:cs="Helvetica"/>
          <w:b/>
          <w:bCs/>
          <w:sz w:val="18"/>
          <w:szCs w:val="18"/>
          <w:lang w:val="en-US"/>
        </w:rPr>
        <w:t>Controlled computational efficiency benchmark of DENFormer and competing models.</w:t>
      </w:r>
      <w:r w:rsidR="006761BC" w:rsidRPr="006761BC">
        <w:rPr>
          <w:rFonts w:ascii="Helvetica" w:hAnsi="Helvetica" w:cs="Helvetica"/>
          <w:sz w:val="18"/>
          <w:szCs w:val="18"/>
          <w:lang w:val="en-US"/>
        </w:rPr>
        <w:t xml:space="preserve"> Training time, peak allocated GPU memory, inference time, inference throughput, and trainable parameter count are reported for </w:t>
      </w:r>
      <w:r w:rsidR="00B90728">
        <w:rPr>
          <w:rFonts w:ascii="Helvetica" w:hAnsi="Helvetica" w:cs="Helvetica"/>
          <w:sz w:val="18"/>
          <w:szCs w:val="18"/>
          <w:lang w:val="en-US"/>
        </w:rPr>
        <w:t>LR (</w:t>
      </w:r>
      <w:r w:rsidR="006761BC" w:rsidRPr="006761BC">
        <w:rPr>
          <w:rFonts w:ascii="Helvetica" w:hAnsi="Helvetica" w:cs="Helvetica"/>
          <w:sz w:val="18"/>
          <w:szCs w:val="18"/>
          <w:lang w:val="en-US"/>
        </w:rPr>
        <w:t>Logistic Regression</w:t>
      </w:r>
      <w:r w:rsidR="00B90728">
        <w:rPr>
          <w:rFonts w:ascii="Helvetica" w:hAnsi="Helvetica" w:cs="Helvetica"/>
          <w:sz w:val="18"/>
          <w:szCs w:val="18"/>
          <w:lang w:val="en-US"/>
        </w:rPr>
        <w:t>)</w:t>
      </w:r>
      <w:r w:rsidR="006761BC" w:rsidRPr="006761BC">
        <w:rPr>
          <w:rFonts w:ascii="Helvetica" w:hAnsi="Helvetica" w:cs="Helvetica"/>
          <w:sz w:val="18"/>
          <w:szCs w:val="18"/>
          <w:lang w:val="en-US"/>
        </w:rPr>
        <w:t>, FFNN, DENFormer-first, DENFormer-mean, DENFormer-max, Longformer, and Performer. All measurements were obtained using the same CD-HIT cluster-aware fold, batch size of 32, software environment, random seed, and NVIDIA H200 NVL GPU under a fixed MPS allocation of 50</w:t>
      </w:r>
      <w:r w:rsidR="00A37B79">
        <w:rPr>
          <w:rFonts w:ascii="Helvetica" w:hAnsi="Helvetica" w:cs="Helvetica"/>
          <w:sz w:val="18"/>
          <w:szCs w:val="18"/>
          <w:lang w:val="en-US"/>
        </w:rPr>
        <w:t>%</w:t>
      </w:r>
      <w:r w:rsidR="006761BC" w:rsidRPr="006761BC">
        <w:rPr>
          <w:rFonts w:ascii="Helvetica" w:hAnsi="Helvetica" w:cs="Helvetica"/>
          <w:sz w:val="18"/>
          <w:szCs w:val="18"/>
          <w:lang w:val="en-US"/>
        </w:rPr>
        <w:t>. Training times are medians from three measured training passes following one complete warm-up epoch. Inference values are medians from three complete passes over 11,290 held-out genomes following ten warm-up batches. GPU memory corresponds to the maximum peak allocated CUDA memory observed across the measured runs.</w:t>
      </w:r>
    </w:p>
    <w:tbl>
      <w:tblPr>
        <w:tblW w:w="9480" w:type="dxa"/>
        <w:jc w:val="center"/>
        <w:tblLook w:val="04A0" w:firstRow="1" w:lastRow="0" w:firstColumn="1" w:lastColumn="0" w:noHBand="0" w:noVBand="1"/>
      </w:tblPr>
      <w:tblGrid>
        <w:gridCol w:w="1520"/>
        <w:gridCol w:w="1120"/>
        <w:gridCol w:w="1140"/>
        <w:gridCol w:w="1620"/>
        <w:gridCol w:w="980"/>
        <w:gridCol w:w="1560"/>
        <w:gridCol w:w="1540"/>
      </w:tblGrid>
      <w:tr w:rsidR="00C4099C" w:rsidRPr="00A96E65" w14:paraId="7D342412" w14:textId="77777777" w:rsidTr="00C4099C">
        <w:trPr>
          <w:trHeight w:val="490"/>
          <w:jc w:val="center"/>
        </w:trPr>
        <w:tc>
          <w:tcPr>
            <w:tcW w:w="1520" w:type="dxa"/>
            <w:tcBorders>
              <w:top w:val="nil"/>
              <w:left w:val="nil"/>
              <w:bottom w:val="single" w:sz="8" w:space="0" w:color="1F1F1F"/>
              <w:right w:val="nil"/>
            </w:tcBorders>
            <w:shd w:val="clear" w:color="000000" w:fill="1F4E78"/>
            <w:vAlign w:val="center"/>
            <w:hideMark/>
          </w:tcPr>
          <w:p w14:paraId="3503DE88" w14:textId="77777777" w:rsidR="00C4099C" w:rsidRDefault="00C4099C">
            <w:pPr>
              <w:jc w:val="center"/>
              <w:rPr>
                <w:rFonts w:ascii="Helvetica" w:hAnsi="Helvetica" w:cs="Helvetica"/>
                <w:b/>
                <w:bCs/>
                <w:color w:val="FFFFFF"/>
                <w:sz w:val="14"/>
                <w:szCs w:val="14"/>
                <w:lang w:eastAsia="en-US"/>
              </w:rPr>
            </w:pPr>
            <w:r>
              <w:rPr>
                <w:rFonts w:ascii="Helvetica" w:hAnsi="Helvetica" w:cs="Helvetica"/>
                <w:b/>
                <w:bCs/>
                <w:color w:val="FFFFFF"/>
                <w:sz w:val="14"/>
                <w:szCs w:val="14"/>
              </w:rPr>
              <w:t>Model</w:t>
            </w:r>
          </w:p>
        </w:tc>
        <w:tc>
          <w:tcPr>
            <w:tcW w:w="1120" w:type="dxa"/>
            <w:tcBorders>
              <w:top w:val="nil"/>
              <w:left w:val="nil"/>
              <w:bottom w:val="single" w:sz="8" w:space="0" w:color="1F1F1F"/>
              <w:right w:val="nil"/>
            </w:tcBorders>
            <w:shd w:val="clear" w:color="000000" w:fill="1F4E78"/>
            <w:vAlign w:val="center"/>
            <w:hideMark/>
          </w:tcPr>
          <w:p w14:paraId="707CDB7A" w14:textId="77777777" w:rsidR="00C4099C" w:rsidRDefault="00C4099C">
            <w:pPr>
              <w:jc w:val="center"/>
              <w:rPr>
                <w:rFonts w:ascii="Helvetica" w:hAnsi="Helvetica" w:cs="Helvetica"/>
                <w:b/>
                <w:bCs/>
                <w:color w:val="FFFFFF"/>
                <w:sz w:val="14"/>
                <w:szCs w:val="14"/>
              </w:rPr>
            </w:pPr>
            <w:proofErr w:type="spellStart"/>
            <w:r>
              <w:rPr>
                <w:rFonts w:ascii="Helvetica" w:hAnsi="Helvetica" w:cs="Helvetica"/>
                <w:b/>
                <w:bCs/>
                <w:color w:val="FFFFFF"/>
                <w:sz w:val="14"/>
                <w:szCs w:val="14"/>
              </w:rPr>
              <w:t>Trainable</w:t>
            </w:r>
            <w:proofErr w:type="spellEnd"/>
            <w:r>
              <w:rPr>
                <w:rFonts w:ascii="Helvetica" w:hAnsi="Helvetica" w:cs="Helvetica"/>
                <w:b/>
                <w:bCs/>
                <w:color w:val="FFFFFF"/>
                <w:sz w:val="14"/>
                <w:szCs w:val="14"/>
              </w:rPr>
              <w:t xml:space="preserve"> parameters</w:t>
            </w:r>
          </w:p>
        </w:tc>
        <w:tc>
          <w:tcPr>
            <w:tcW w:w="1140" w:type="dxa"/>
            <w:tcBorders>
              <w:top w:val="nil"/>
              <w:left w:val="nil"/>
              <w:bottom w:val="single" w:sz="8" w:space="0" w:color="1F1F1F"/>
              <w:right w:val="nil"/>
            </w:tcBorders>
            <w:shd w:val="clear" w:color="000000" w:fill="1F4E78"/>
            <w:vAlign w:val="center"/>
            <w:hideMark/>
          </w:tcPr>
          <w:p w14:paraId="00FCB7E8" w14:textId="77777777" w:rsidR="00C4099C" w:rsidRPr="00C4099C" w:rsidRDefault="00C4099C">
            <w:pPr>
              <w:jc w:val="center"/>
              <w:rPr>
                <w:rFonts w:ascii="Helvetica" w:hAnsi="Helvetica" w:cs="Helvetica"/>
                <w:b/>
                <w:bCs/>
                <w:color w:val="FFFFFF"/>
                <w:sz w:val="14"/>
                <w:szCs w:val="14"/>
                <w:lang w:val="en-US"/>
              </w:rPr>
            </w:pPr>
            <w:r w:rsidRPr="00C4099C">
              <w:rPr>
                <w:rFonts w:ascii="Helvetica" w:hAnsi="Helvetica" w:cs="Helvetica"/>
                <w:b/>
                <w:bCs/>
                <w:color w:val="FFFFFF"/>
                <w:sz w:val="14"/>
                <w:szCs w:val="14"/>
                <w:lang w:val="en-US"/>
              </w:rPr>
              <w:t>Training time per epoch (s)</w:t>
            </w:r>
          </w:p>
        </w:tc>
        <w:tc>
          <w:tcPr>
            <w:tcW w:w="1620" w:type="dxa"/>
            <w:tcBorders>
              <w:top w:val="nil"/>
              <w:left w:val="nil"/>
              <w:bottom w:val="single" w:sz="8" w:space="0" w:color="1F1F1F"/>
              <w:right w:val="nil"/>
            </w:tcBorders>
            <w:shd w:val="clear" w:color="000000" w:fill="1F4E78"/>
            <w:vAlign w:val="center"/>
            <w:hideMark/>
          </w:tcPr>
          <w:p w14:paraId="7A27F800" w14:textId="77777777" w:rsidR="00C4099C" w:rsidRPr="00C4099C" w:rsidRDefault="00C4099C">
            <w:pPr>
              <w:jc w:val="center"/>
              <w:rPr>
                <w:rFonts w:ascii="Helvetica" w:hAnsi="Helvetica" w:cs="Helvetica"/>
                <w:b/>
                <w:bCs/>
                <w:color w:val="FFFFFF"/>
                <w:sz w:val="14"/>
                <w:szCs w:val="14"/>
                <w:lang w:val="en-US"/>
              </w:rPr>
            </w:pPr>
            <w:r w:rsidRPr="00C4099C">
              <w:rPr>
                <w:rFonts w:ascii="Helvetica" w:hAnsi="Helvetica" w:cs="Helvetica"/>
                <w:b/>
                <w:bCs/>
                <w:color w:val="FFFFFF"/>
                <w:sz w:val="14"/>
                <w:szCs w:val="14"/>
                <w:lang w:val="en-US"/>
              </w:rPr>
              <w:t>Peak training GPU memory (GB)</w:t>
            </w:r>
          </w:p>
        </w:tc>
        <w:tc>
          <w:tcPr>
            <w:tcW w:w="980" w:type="dxa"/>
            <w:tcBorders>
              <w:top w:val="nil"/>
              <w:left w:val="nil"/>
              <w:bottom w:val="single" w:sz="8" w:space="0" w:color="1F1F1F"/>
              <w:right w:val="nil"/>
            </w:tcBorders>
            <w:shd w:val="clear" w:color="000000" w:fill="1F4E78"/>
            <w:vAlign w:val="center"/>
            <w:hideMark/>
          </w:tcPr>
          <w:p w14:paraId="6A620518" w14:textId="77777777" w:rsidR="00C4099C" w:rsidRDefault="00C4099C">
            <w:pPr>
              <w:jc w:val="center"/>
              <w:rPr>
                <w:rFonts w:ascii="Helvetica" w:hAnsi="Helvetica" w:cs="Helvetica"/>
                <w:b/>
                <w:bCs/>
                <w:color w:val="FFFFFF"/>
                <w:sz w:val="14"/>
                <w:szCs w:val="14"/>
              </w:rPr>
            </w:pPr>
            <w:r>
              <w:rPr>
                <w:rFonts w:ascii="Helvetica" w:hAnsi="Helvetica" w:cs="Helvetica"/>
                <w:b/>
                <w:bCs/>
                <w:color w:val="FFFFFF"/>
                <w:sz w:val="14"/>
                <w:szCs w:val="14"/>
              </w:rPr>
              <w:t>Inference time (s)</w:t>
            </w:r>
          </w:p>
        </w:tc>
        <w:tc>
          <w:tcPr>
            <w:tcW w:w="1560" w:type="dxa"/>
            <w:tcBorders>
              <w:top w:val="nil"/>
              <w:left w:val="nil"/>
              <w:bottom w:val="single" w:sz="8" w:space="0" w:color="1F1F1F"/>
              <w:right w:val="nil"/>
            </w:tcBorders>
            <w:shd w:val="clear" w:color="000000" w:fill="1F4E78"/>
            <w:vAlign w:val="center"/>
            <w:hideMark/>
          </w:tcPr>
          <w:p w14:paraId="4D6A6114" w14:textId="77777777" w:rsidR="00C4099C" w:rsidRDefault="00C4099C">
            <w:pPr>
              <w:jc w:val="center"/>
              <w:rPr>
                <w:rFonts w:ascii="Helvetica" w:hAnsi="Helvetica" w:cs="Helvetica"/>
                <w:b/>
                <w:bCs/>
                <w:color w:val="FFFFFF"/>
                <w:sz w:val="14"/>
                <w:szCs w:val="14"/>
              </w:rPr>
            </w:pPr>
            <w:r>
              <w:rPr>
                <w:rFonts w:ascii="Helvetica" w:hAnsi="Helvetica" w:cs="Helvetica"/>
                <w:b/>
                <w:bCs/>
                <w:color w:val="FFFFFF"/>
                <w:sz w:val="14"/>
                <w:szCs w:val="14"/>
              </w:rPr>
              <w:t>Inference throughput (</w:t>
            </w:r>
            <w:proofErr w:type="spellStart"/>
            <w:r>
              <w:rPr>
                <w:rFonts w:ascii="Helvetica" w:hAnsi="Helvetica" w:cs="Helvetica"/>
                <w:b/>
                <w:bCs/>
                <w:color w:val="FFFFFF"/>
                <w:sz w:val="14"/>
                <w:szCs w:val="14"/>
              </w:rPr>
              <w:t>genomes</w:t>
            </w:r>
            <w:proofErr w:type="spellEnd"/>
            <w:r>
              <w:rPr>
                <w:rFonts w:ascii="Helvetica" w:hAnsi="Helvetica" w:cs="Helvetica"/>
                <w:b/>
                <w:bCs/>
                <w:color w:val="FFFFFF"/>
                <w:sz w:val="14"/>
                <w:szCs w:val="14"/>
              </w:rPr>
              <w:t>/s)</w:t>
            </w:r>
          </w:p>
        </w:tc>
        <w:tc>
          <w:tcPr>
            <w:tcW w:w="1540" w:type="dxa"/>
            <w:tcBorders>
              <w:top w:val="nil"/>
              <w:left w:val="nil"/>
              <w:bottom w:val="single" w:sz="8" w:space="0" w:color="1F1F1F"/>
              <w:right w:val="nil"/>
            </w:tcBorders>
            <w:shd w:val="clear" w:color="000000" w:fill="1F4E78"/>
            <w:vAlign w:val="center"/>
            <w:hideMark/>
          </w:tcPr>
          <w:p w14:paraId="051B23AC" w14:textId="77777777" w:rsidR="00C4099C" w:rsidRPr="00C4099C" w:rsidRDefault="00C4099C">
            <w:pPr>
              <w:jc w:val="center"/>
              <w:rPr>
                <w:rFonts w:ascii="Helvetica" w:hAnsi="Helvetica" w:cs="Helvetica"/>
                <w:b/>
                <w:bCs/>
                <w:color w:val="FFFFFF"/>
                <w:sz w:val="14"/>
                <w:szCs w:val="14"/>
                <w:lang w:val="en-US"/>
              </w:rPr>
            </w:pPr>
            <w:r w:rsidRPr="00C4099C">
              <w:rPr>
                <w:rFonts w:ascii="Helvetica" w:hAnsi="Helvetica" w:cs="Helvetica"/>
                <w:b/>
                <w:bCs/>
                <w:color w:val="FFFFFF"/>
                <w:sz w:val="14"/>
                <w:szCs w:val="14"/>
                <w:lang w:val="en-US"/>
              </w:rPr>
              <w:t>Peak inference GPU memory (GB)</w:t>
            </w:r>
          </w:p>
        </w:tc>
      </w:tr>
      <w:tr w:rsidR="00C4099C" w14:paraId="1C723A38" w14:textId="77777777" w:rsidTr="00C4099C">
        <w:trPr>
          <w:trHeight w:val="290"/>
          <w:jc w:val="center"/>
        </w:trPr>
        <w:tc>
          <w:tcPr>
            <w:tcW w:w="1520" w:type="dxa"/>
            <w:tcBorders>
              <w:top w:val="nil"/>
              <w:left w:val="nil"/>
              <w:bottom w:val="single" w:sz="4" w:space="0" w:color="D9E2F3"/>
              <w:right w:val="nil"/>
            </w:tcBorders>
            <w:noWrap/>
            <w:vAlign w:val="center"/>
            <w:hideMark/>
          </w:tcPr>
          <w:p w14:paraId="5458B548" w14:textId="5C4DC0E5" w:rsidR="00C4099C" w:rsidRDefault="00B90728">
            <w:pPr>
              <w:rPr>
                <w:rFonts w:ascii="Helvetica" w:hAnsi="Helvetica" w:cs="Helvetica"/>
                <w:color w:val="000000"/>
                <w:sz w:val="14"/>
                <w:szCs w:val="14"/>
              </w:rPr>
            </w:pPr>
            <w:r>
              <w:rPr>
                <w:rFonts w:ascii="Helvetica" w:hAnsi="Helvetica" w:cs="Helvetica"/>
                <w:color w:val="000000"/>
                <w:sz w:val="14"/>
                <w:szCs w:val="14"/>
              </w:rPr>
              <w:t>LR</w:t>
            </w:r>
          </w:p>
        </w:tc>
        <w:tc>
          <w:tcPr>
            <w:tcW w:w="1120" w:type="dxa"/>
            <w:tcBorders>
              <w:top w:val="nil"/>
              <w:left w:val="nil"/>
              <w:bottom w:val="single" w:sz="4" w:space="0" w:color="D9E2F3"/>
              <w:right w:val="nil"/>
            </w:tcBorders>
            <w:noWrap/>
            <w:vAlign w:val="center"/>
            <w:hideMark/>
          </w:tcPr>
          <w:p w14:paraId="6A2F76FA"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192,004</w:t>
            </w:r>
          </w:p>
        </w:tc>
        <w:tc>
          <w:tcPr>
            <w:tcW w:w="1140" w:type="dxa"/>
            <w:tcBorders>
              <w:top w:val="nil"/>
              <w:left w:val="nil"/>
              <w:bottom w:val="single" w:sz="4" w:space="0" w:color="D9E2F3"/>
              <w:right w:val="nil"/>
            </w:tcBorders>
            <w:noWrap/>
            <w:vAlign w:val="center"/>
            <w:hideMark/>
          </w:tcPr>
          <w:p w14:paraId="39F43D45"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0.97</w:t>
            </w:r>
          </w:p>
        </w:tc>
        <w:tc>
          <w:tcPr>
            <w:tcW w:w="1620" w:type="dxa"/>
            <w:tcBorders>
              <w:top w:val="nil"/>
              <w:left w:val="nil"/>
              <w:bottom w:val="single" w:sz="4" w:space="0" w:color="D9E2F3"/>
              <w:right w:val="nil"/>
            </w:tcBorders>
            <w:noWrap/>
            <w:vAlign w:val="center"/>
            <w:hideMark/>
          </w:tcPr>
          <w:p w14:paraId="69DF61D8"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0.08</w:t>
            </w:r>
          </w:p>
        </w:tc>
        <w:tc>
          <w:tcPr>
            <w:tcW w:w="980" w:type="dxa"/>
            <w:tcBorders>
              <w:top w:val="nil"/>
              <w:left w:val="nil"/>
              <w:bottom w:val="single" w:sz="4" w:space="0" w:color="D9E2F3"/>
              <w:right w:val="nil"/>
            </w:tcBorders>
            <w:noWrap/>
            <w:vAlign w:val="center"/>
            <w:hideMark/>
          </w:tcPr>
          <w:p w14:paraId="39B99D3F"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0.38</w:t>
            </w:r>
          </w:p>
        </w:tc>
        <w:tc>
          <w:tcPr>
            <w:tcW w:w="1560" w:type="dxa"/>
            <w:tcBorders>
              <w:top w:val="nil"/>
              <w:left w:val="nil"/>
              <w:bottom w:val="single" w:sz="4" w:space="0" w:color="D9E2F3"/>
              <w:right w:val="nil"/>
            </w:tcBorders>
            <w:noWrap/>
            <w:vAlign w:val="center"/>
            <w:hideMark/>
          </w:tcPr>
          <w:p w14:paraId="20D24471"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29786.96</w:t>
            </w:r>
          </w:p>
        </w:tc>
        <w:tc>
          <w:tcPr>
            <w:tcW w:w="1540" w:type="dxa"/>
            <w:tcBorders>
              <w:top w:val="nil"/>
              <w:left w:val="nil"/>
              <w:bottom w:val="single" w:sz="4" w:space="0" w:color="D9E2F3"/>
              <w:right w:val="nil"/>
            </w:tcBorders>
            <w:noWrap/>
            <w:vAlign w:val="center"/>
            <w:hideMark/>
          </w:tcPr>
          <w:p w14:paraId="3D9872A0"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0.08</w:t>
            </w:r>
          </w:p>
        </w:tc>
      </w:tr>
      <w:tr w:rsidR="00C4099C" w14:paraId="67E642DF" w14:textId="77777777" w:rsidTr="00C4099C">
        <w:trPr>
          <w:trHeight w:val="290"/>
          <w:jc w:val="center"/>
        </w:trPr>
        <w:tc>
          <w:tcPr>
            <w:tcW w:w="1520" w:type="dxa"/>
            <w:tcBorders>
              <w:top w:val="nil"/>
              <w:left w:val="nil"/>
              <w:bottom w:val="single" w:sz="4" w:space="0" w:color="D9E2F3"/>
              <w:right w:val="nil"/>
            </w:tcBorders>
            <w:noWrap/>
            <w:vAlign w:val="center"/>
            <w:hideMark/>
          </w:tcPr>
          <w:p w14:paraId="653044DE" w14:textId="77777777" w:rsidR="00C4099C" w:rsidRDefault="00C4099C">
            <w:pPr>
              <w:rPr>
                <w:rFonts w:ascii="Helvetica" w:hAnsi="Helvetica" w:cs="Helvetica"/>
                <w:color w:val="000000"/>
                <w:sz w:val="14"/>
                <w:szCs w:val="14"/>
              </w:rPr>
            </w:pPr>
            <w:r>
              <w:rPr>
                <w:rFonts w:ascii="Helvetica" w:hAnsi="Helvetica" w:cs="Helvetica"/>
                <w:color w:val="000000"/>
                <w:sz w:val="14"/>
                <w:szCs w:val="14"/>
              </w:rPr>
              <w:t>FFNN</w:t>
            </w:r>
          </w:p>
        </w:tc>
        <w:tc>
          <w:tcPr>
            <w:tcW w:w="1120" w:type="dxa"/>
            <w:tcBorders>
              <w:top w:val="nil"/>
              <w:left w:val="nil"/>
              <w:bottom w:val="single" w:sz="4" w:space="0" w:color="D9E2F3"/>
              <w:right w:val="nil"/>
            </w:tcBorders>
            <w:noWrap/>
            <w:vAlign w:val="center"/>
            <w:hideMark/>
          </w:tcPr>
          <w:p w14:paraId="07CEE047"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24,841,220</w:t>
            </w:r>
          </w:p>
        </w:tc>
        <w:tc>
          <w:tcPr>
            <w:tcW w:w="1140" w:type="dxa"/>
            <w:tcBorders>
              <w:top w:val="nil"/>
              <w:left w:val="nil"/>
              <w:bottom w:val="single" w:sz="4" w:space="0" w:color="D9E2F3"/>
              <w:right w:val="nil"/>
            </w:tcBorders>
            <w:noWrap/>
            <w:vAlign w:val="center"/>
            <w:hideMark/>
          </w:tcPr>
          <w:p w14:paraId="267EBF4A"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0.96</w:t>
            </w:r>
          </w:p>
        </w:tc>
        <w:tc>
          <w:tcPr>
            <w:tcW w:w="1620" w:type="dxa"/>
            <w:tcBorders>
              <w:top w:val="nil"/>
              <w:left w:val="nil"/>
              <w:bottom w:val="single" w:sz="4" w:space="0" w:color="D9E2F3"/>
              <w:right w:val="nil"/>
            </w:tcBorders>
            <w:noWrap/>
            <w:vAlign w:val="center"/>
            <w:hideMark/>
          </w:tcPr>
          <w:p w14:paraId="677D35E6"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0.53</w:t>
            </w:r>
          </w:p>
        </w:tc>
        <w:tc>
          <w:tcPr>
            <w:tcW w:w="980" w:type="dxa"/>
            <w:tcBorders>
              <w:top w:val="nil"/>
              <w:left w:val="nil"/>
              <w:bottom w:val="single" w:sz="4" w:space="0" w:color="D9E2F3"/>
              <w:right w:val="nil"/>
            </w:tcBorders>
            <w:noWrap/>
            <w:vAlign w:val="center"/>
            <w:hideMark/>
          </w:tcPr>
          <w:p w14:paraId="4989A55A"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0.40</w:t>
            </w:r>
          </w:p>
        </w:tc>
        <w:tc>
          <w:tcPr>
            <w:tcW w:w="1560" w:type="dxa"/>
            <w:tcBorders>
              <w:top w:val="nil"/>
              <w:left w:val="nil"/>
              <w:bottom w:val="single" w:sz="4" w:space="0" w:color="D9E2F3"/>
              <w:right w:val="nil"/>
            </w:tcBorders>
            <w:noWrap/>
            <w:vAlign w:val="center"/>
            <w:hideMark/>
          </w:tcPr>
          <w:p w14:paraId="40993DA5"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28052.24</w:t>
            </w:r>
          </w:p>
        </w:tc>
        <w:tc>
          <w:tcPr>
            <w:tcW w:w="1540" w:type="dxa"/>
            <w:tcBorders>
              <w:top w:val="nil"/>
              <w:left w:val="nil"/>
              <w:bottom w:val="single" w:sz="4" w:space="0" w:color="D9E2F3"/>
              <w:right w:val="nil"/>
            </w:tcBorders>
            <w:noWrap/>
            <w:vAlign w:val="center"/>
            <w:hideMark/>
          </w:tcPr>
          <w:p w14:paraId="51DEB583"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0.26</w:t>
            </w:r>
          </w:p>
        </w:tc>
      </w:tr>
      <w:tr w:rsidR="00C4099C" w14:paraId="0C49A817" w14:textId="77777777" w:rsidTr="00C4099C">
        <w:trPr>
          <w:trHeight w:val="290"/>
          <w:jc w:val="center"/>
        </w:trPr>
        <w:tc>
          <w:tcPr>
            <w:tcW w:w="1520" w:type="dxa"/>
            <w:tcBorders>
              <w:top w:val="nil"/>
              <w:left w:val="nil"/>
              <w:bottom w:val="single" w:sz="4" w:space="0" w:color="D9E2F3"/>
              <w:right w:val="nil"/>
            </w:tcBorders>
            <w:noWrap/>
            <w:vAlign w:val="center"/>
            <w:hideMark/>
          </w:tcPr>
          <w:p w14:paraId="07A04E84" w14:textId="77777777" w:rsidR="00C4099C" w:rsidRDefault="00C4099C">
            <w:pPr>
              <w:rPr>
                <w:rFonts w:ascii="Helvetica" w:hAnsi="Helvetica" w:cs="Helvetica"/>
                <w:color w:val="000000"/>
                <w:sz w:val="14"/>
                <w:szCs w:val="14"/>
              </w:rPr>
            </w:pPr>
            <w:r>
              <w:rPr>
                <w:rFonts w:ascii="Helvetica" w:hAnsi="Helvetica" w:cs="Helvetica"/>
                <w:color w:val="000000"/>
                <w:sz w:val="14"/>
                <w:szCs w:val="14"/>
              </w:rPr>
              <w:t>DENFormer-first</w:t>
            </w:r>
          </w:p>
        </w:tc>
        <w:tc>
          <w:tcPr>
            <w:tcW w:w="1120" w:type="dxa"/>
            <w:tcBorders>
              <w:top w:val="nil"/>
              <w:left w:val="nil"/>
              <w:bottom w:val="single" w:sz="4" w:space="0" w:color="D9E2F3"/>
              <w:right w:val="nil"/>
            </w:tcBorders>
            <w:noWrap/>
            <w:vAlign w:val="center"/>
            <w:hideMark/>
          </w:tcPr>
          <w:p w14:paraId="2BF0C7D7"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397,956</w:t>
            </w:r>
          </w:p>
        </w:tc>
        <w:tc>
          <w:tcPr>
            <w:tcW w:w="1140" w:type="dxa"/>
            <w:tcBorders>
              <w:top w:val="nil"/>
              <w:left w:val="nil"/>
              <w:bottom w:val="single" w:sz="4" w:space="0" w:color="D9E2F3"/>
              <w:right w:val="nil"/>
            </w:tcBorders>
            <w:noWrap/>
            <w:vAlign w:val="center"/>
            <w:hideMark/>
          </w:tcPr>
          <w:p w14:paraId="4F2F4B30"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55.37</w:t>
            </w:r>
          </w:p>
        </w:tc>
        <w:tc>
          <w:tcPr>
            <w:tcW w:w="1620" w:type="dxa"/>
            <w:tcBorders>
              <w:top w:val="nil"/>
              <w:left w:val="nil"/>
              <w:bottom w:val="single" w:sz="4" w:space="0" w:color="D9E2F3"/>
              <w:right w:val="nil"/>
            </w:tcBorders>
            <w:noWrap/>
            <w:vAlign w:val="center"/>
            <w:hideMark/>
          </w:tcPr>
          <w:p w14:paraId="6464403C"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6.77</w:t>
            </w:r>
          </w:p>
        </w:tc>
        <w:tc>
          <w:tcPr>
            <w:tcW w:w="980" w:type="dxa"/>
            <w:tcBorders>
              <w:top w:val="nil"/>
              <w:left w:val="nil"/>
              <w:bottom w:val="single" w:sz="4" w:space="0" w:color="D9E2F3"/>
              <w:right w:val="nil"/>
            </w:tcBorders>
            <w:noWrap/>
            <w:vAlign w:val="center"/>
            <w:hideMark/>
          </w:tcPr>
          <w:p w14:paraId="750128CB"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16.54</w:t>
            </w:r>
          </w:p>
        </w:tc>
        <w:tc>
          <w:tcPr>
            <w:tcW w:w="1560" w:type="dxa"/>
            <w:tcBorders>
              <w:top w:val="nil"/>
              <w:left w:val="nil"/>
              <w:bottom w:val="single" w:sz="4" w:space="0" w:color="D9E2F3"/>
              <w:right w:val="nil"/>
            </w:tcBorders>
            <w:noWrap/>
            <w:vAlign w:val="center"/>
            <w:hideMark/>
          </w:tcPr>
          <w:p w14:paraId="4886DC45"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682.69</w:t>
            </w:r>
          </w:p>
        </w:tc>
        <w:tc>
          <w:tcPr>
            <w:tcW w:w="1540" w:type="dxa"/>
            <w:tcBorders>
              <w:top w:val="nil"/>
              <w:left w:val="nil"/>
              <w:bottom w:val="single" w:sz="4" w:space="0" w:color="D9E2F3"/>
              <w:right w:val="nil"/>
            </w:tcBorders>
            <w:noWrap/>
            <w:vAlign w:val="center"/>
            <w:hideMark/>
          </w:tcPr>
          <w:p w14:paraId="78BD2BE3"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0.46</w:t>
            </w:r>
          </w:p>
        </w:tc>
      </w:tr>
      <w:tr w:rsidR="00C4099C" w14:paraId="0F8F0258" w14:textId="77777777" w:rsidTr="00C4099C">
        <w:trPr>
          <w:trHeight w:val="290"/>
          <w:jc w:val="center"/>
        </w:trPr>
        <w:tc>
          <w:tcPr>
            <w:tcW w:w="1520" w:type="dxa"/>
            <w:tcBorders>
              <w:top w:val="nil"/>
              <w:left w:val="nil"/>
              <w:bottom w:val="single" w:sz="4" w:space="0" w:color="D9E2F3"/>
              <w:right w:val="nil"/>
            </w:tcBorders>
            <w:noWrap/>
            <w:vAlign w:val="center"/>
            <w:hideMark/>
          </w:tcPr>
          <w:p w14:paraId="00C24151" w14:textId="77777777" w:rsidR="00C4099C" w:rsidRDefault="00C4099C">
            <w:pPr>
              <w:rPr>
                <w:rFonts w:ascii="Helvetica" w:hAnsi="Helvetica" w:cs="Helvetica"/>
                <w:color w:val="000000"/>
                <w:sz w:val="14"/>
                <w:szCs w:val="14"/>
              </w:rPr>
            </w:pPr>
            <w:r>
              <w:rPr>
                <w:rFonts w:ascii="Helvetica" w:hAnsi="Helvetica" w:cs="Helvetica"/>
                <w:color w:val="000000"/>
                <w:sz w:val="14"/>
                <w:szCs w:val="14"/>
              </w:rPr>
              <w:t>DENFormer-mean</w:t>
            </w:r>
          </w:p>
        </w:tc>
        <w:tc>
          <w:tcPr>
            <w:tcW w:w="1120" w:type="dxa"/>
            <w:tcBorders>
              <w:top w:val="nil"/>
              <w:left w:val="nil"/>
              <w:bottom w:val="single" w:sz="4" w:space="0" w:color="D9E2F3"/>
              <w:right w:val="nil"/>
            </w:tcBorders>
            <w:noWrap/>
            <w:vAlign w:val="center"/>
            <w:hideMark/>
          </w:tcPr>
          <w:p w14:paraId="3750746D"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397,956</w:t>
            </w:r>
          </w:p>
        </w:tc>
        <w:tc>
          <w:tcPr>
            <w:tcW w:w="1140" w:type="dxa"/>
            <w:tcBorders>
              <w:top w:val="nil"/>
              <w:left w:val="nil"/>
              <w:bottom w:val="single" w:sz="4" w:space="0" w:color="D9E2F3"/>
              <w:right w:val="nil"/>
            </w:tcBorders>
            <w:noWrap/>
            <w:vAlign w:val="center"/>
            <w:hideMark/>
          </w:tcPr>
          <w:p w14:paraId="248F55B0"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55.27</w:t>
            </w:r>
          </w:p>
        </w:tc>
        <w:tc>
          <w:tcPr>
            <w:tcW w:w="1620" w:type="dxa"/>
            <w:tcBorders>
              <w:top w:val="nil"/>
              <w:left w:val="nil"/>
              <w:bottom w:val="single" w:sz="4" w:space="0" w:color="D9E2F3"/>
              <w:right w:val="nil"/>
            </w:tcBorders>
            <w:noWrap/>
            <w:vAlign w:val="center"/>
            <w:hideMark/>
          </w:tcPr>
          <w:p w14:paraId="29D708F2"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6.61</w:t>
            </w:r>
          </w:p>
        </w:tc>
        <w:tc>
          <w:tcPr>
            <w:tcW w:w="980" w:type="dxa"/>
            <w:tcBorders>
              <w:top w:val="nil"/>
              <w:left w:val="nil"/>
              <w:bottom w:val="single" w:sz="4" w:space="0" w:color="D9E2F3"/>
              <w:right w:val="nil"/>
            </w:tcBorders>
            <w:noWrap/>
            <w:vAlign w:val="center"/>
            <w:hideMark/>
          </w:tcPr>
          <w:p w14:paraId="397EF4BF"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15.12</w:t>
            </w:r>
          </w:p>
        </w:tc>
        <w:tc>
          <w:tcPr>
            <w:tcW w:w="1560" w:type="dxa"/>
            <w:tcBorders>
              <w:top w:val="nil"/>
              <w:left w:val="nil"/>
              <w:bottom w:val="single" w:sz="4" w:space="0" w:color="D9E2F3"/>
              <w:right w:val="nil"/>
            </w:tcBorders>
            <w:noWrap/>
            <w:vAlign w:val="center"/>
            <w:hideMark/>
          </w:tcPr>
          <w:p w14:paraId="56800C24"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746.55</w:t>
            </w:r>
          </w:p>
        </w:tc>
        <w:tc>
          <w:tcPr>
            <w:tcW w:w="1540" w:type="dxa"/>
            <w:tcBorders>
              <w:top w:val="nil"/>
              <w:left w:val="nil"/>
              <w:bottom w:val="single" w:sz="4" w:space="0" w:color="D9E2F3"/>
              <w:right w:val="nil"/>
            </w:tcBorders>
            <w:noWrap/>
            <w:vAlign w:val="center"/>
            <w:hideMark/>
          </w:tcPr>
          <w:p w14:paraId="095EA93B"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0.31</w:t>
            </w:r>
          </w:p>
        </w:tc>
      </w:tr>
      <w:tr w:rsidR="00C4099C" w14:paraId="10519CF9" w14:textId="77777777" w:rsidTr="00C4099C">
        <w:trPr>
          <w:trHeight w:val="290"/>
          <w:jc w:val="center"/>
        </w:trPr>
        <w:tc>
          <w:tcPr>
            <w:tcW w:w="1520" w:type="dxa"/>
            <w:tcBorders>
              <w:top w:val="nil"/>
              <w:left w:val="nil"/>
              <w:bottom w:val="single" w:sz="4" w:space="0" w:color="D9E2F3"/>
              <w:right w:val="nil"/>
            </w:tcBorders>
            <w:noWrap/>
            <w:vAlign w:val="center"/>
            <w:hideMark/>
          </w:tcPr>
          <w:p w14:paraId="7C59AF80" w14:textId="77777777" w:rsidR="00C4099C" w:rsidRDefault="00C4099C">
            <w:pPr>
              <w:rPr>
                <w:rFonts w:ascii="Helvetica" w:hAnsi="Helvetica" w:cs="Helvetica"/>
                <w:color w:val="000000"/>
                <w:sz w:val="14"/>
                <w:szCs w:val="14"/>
              </w:rPr>
            </w:pPr>
            <w:r>
              <w:rPr>
                <w:rFonts w:ascii="Helvetica" w:hAnsi="Helvetica" w:cs="Helvetica"/>
                <w:color w:val="000000"/>
                <w:sz w:val="14"/>
                <w:szCs w:val="14"/>
              </w:rPr>
              <w:t>DENFormer-max</w:t>
            </w:r>
          </w:p>
        </w:tc>
        <w:tc>
          <w:tcPr>
            <w:tcW w:w="1120" w:type="dxa"/>
            <w:tcBorders>
              <w:top w:val="nil"/>
              <w:left w:val="nil"/>
              <w:bottom w:val="single" w:sz="4" w:space="0" w:color="D9E2F3"/>
              <w:right w:val="nil"/>
            </w:tcBorders>
            <w:noWrap/>
            <w:vAlign w:val="center"/>
            <w:hideMark/>
          </w:tcPr>
          <w:p w14:paraId="17AEB0EC"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397,956</w:t>
            </w:r>
          </w:p>
        </w:tc>
        <w:tc>
          <w:tcPr>
            <w:tcW w:w="1140" w:type="dxa"/>
            <w:tcBorders>
              <w:top w:val="nil"/>
              <w:left w:val="nil"/>
              <w:bottom w:val="single" w:sz="4" w:space="0" w:color="D9E2F3"/>
              <w:right w:val="nil"/>
            </w:tcBorders>
            <w:noWrap/>
            <w:vAlign w:val="center"/>
            <w:hideMark/>
          </w:tcPr>
          <w:p w14:paraId="23C6051C"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55.55</w:t>
            </w:r>
          </w:p>
        </w:tc>
        <w:tc>
          <w:tcPr>
            <w:tcW w:w="1620" w:type="dxa"/>
            <w:tcBorders>
              <w:top w:val="nil"/>
              <w:left w:val="nil"/>
              <w:bottom w:val="single" w:sz="4" w:space="0" w:color="D9E2F3"/>
              <w:right w:val="nil"/>
            </w:tcBorders>
            <w:noWrap/>
            <w:vAlign w:val="center"/>
            <w:hideMark/>
          </w:tcPr>
          <w:p w14:paraId="7EBEBF90"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6.61</w:t>
            </w:r>
          </w:p>
        </w:tc>
        <w:tc>
          <w:tcPr>
            <w:tcW w:w="980" w:type="dxa"/>
            <w:tcBorders>
              <w:top w:val="nil"/>
              <w:left w:val="nil"/>
              <w:bottom w:val="single" w:sz="4" w:space="0" w:color="D9E2F3"/>
              <w:right w:val="nil"/>
            </w:tcBorders>
            <w:noWrap/>
            <w:vAlign w:val="center"/>
            <w:hideMark/>
          </w:tcPr>
          <w:p w14:paraId="76C7E095"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12.42</w:t>
            </w:r>
          </w:p>
        </w:tc>
        <w:tc>
          <w:tcPr>
            <w:tcW w:w="1560" w:type="dxa"/>
            <w:tcBorders>
              <w:top w:val="nil"/>
              <w:left w:val="nil"/>
              <w:bottom w:val="single" w:sz="4" w:space="0" w:color="D9E2F3"/>
              <w:right w:val="nil"/>
            </w:tcBorders>
            <w:noWrap/>
            <w:vAlign w:val="center"/>
            <w:hideMark/>
          </w:tcPr>
          <w:p w14:paraId="6CFFBC45"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909.37</w:t>
            </w:r>
          </w:p>
        </w:tc>
        <w:tc>
          <w:tcPr>
            <w:tcW w:w="1540" w:type="dxa"/>
            <w:tcBorders>
              <w:top w:val="nil"/>
              <w:left w:val="nil"/>
              <w:bottom w:val="single" w:sz="4" w:space="0" w:color="D9E2F3"/>
              <w:right w:val="nil"/>
            </w:tcBorders>
            <w:noWrap/>
            <w:vAlign w:val="center"/>
            <w:hideMark/>
          </w:tcPr>
          <w:p w14:paraId="29E6A4EB"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0.31</w:t>
            </w:r>
          </w:p>
        </w:tc>
      </w:tr>
      <w:tr w:rsidR="00C4099C" w14:paraId="16A47DA0" w14:textId="77777777" w:rsidTr="00C4099C">
        <w:trPr>
          <w:trHeight w:val="290"/>
          <w:jc w:val="center"/>
        </w:trPr>
        <w:tc>
          <w:tcPr>
            <w:tcW w:w="1520" w:type="dxa"/>
            <w:tcBorders>
              <w:top w:val="nil"/>
              <w:left w:val="nil"/>
              <w:bottom w:val="single" w:sz="4" w:space="0" w:color="D9E2F3"/>
              <w:right w:val="nil"/>
            </w:tcBorders>
            <w:noWrap/>
            <w:vAlign w:val="center"/>
            <w:hideMark/>
          </w:tcPr>
          <w:p w14:paraId="25FFA884" w14:textId="77777777" w:rsidR="00C4099C" w:rsidRDefault="00C4099C">
            <w:pPr>
              <w:rPr>
                <w:rFonts w:ascii="Helvetica" w:hAnsi="Helvetica" w:cs="Helvetica"/>
                <w:color w:val="000000"/>
                <w:sz w:val="14"/>
                <w:szCs w:val="14"/>
              </w:rPr>
            </w:pPr>
            <w:r>
              <w:rPr>
                <w:rFonts w:ascii="Helvetica" w:hAnsi="Helvetica" w:cs="Helvetica"/>
                <w:color w:val="000000"/>
                <w:sz w:val="14"/>
                <w:szCs w:val="14"/>
              </w:rPr>
              <w:t>Longformer</w:t>
            </w:r>
          </w:p>
        </w:tc>
        <w:tc>
          <w:tcPr>
            <w:tcW w:w="1120" w:type="dxa"/>
            <w:tcBorders>
              <w:top w:val="nil"/>
              <w:left w:val="nil"/>
              <w:bottom w:val="single" w:sz="4" w:space="0" w:color="D9E2F3"/>
              <w:right w:val="nil"/>
            </w:tcBorders>
            <w:noWrap/>
            <w:vAlign w:val="center"/>
            <w:hideMark/>
          </w:tcPr>
          <w:p w14:paraId="5BF0A24C"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2,087,300</w:t>
            </w:r>
          </w:p>
        </w:tc>
        <w:tc>
          <w:tcPr>
            <w:tcW w:w="1140" w:type="dxa"/>
            <w:tcBorders>
              <w:top w:val="nil"/>
              <w:left w:val="nil"/>
              <w:bottom w:val="single" w:sz="4" w:space="0" w:color="D9E2F3"/>
              <w:right w:val="nil"/>
            </w:tcBorders>
            <w:noWrap/>
            <w:vAlign w:val="center"/>
            <w:hideMark/>
          </w:tcPr>
          <w:p w14:paraId="398F2F5A"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225.85</w:t>
            </w:r>
          </w:p>
        </w:tc>
        <w:tc>
          <w:tcPr>
            <w:tcW w:w="1620" w:type="dxa"/>
            <w:tcBorders>
              <w:top w:val="nil"/>
              <w:left w:val="nil"/>
              <w:bottom w:val="single" w:sz="4" w:space="0" w:color="D9E2F3"/>
              <w:right w:val="nil"/>
            </w:tcBorders>
            <w:noWrap/>
            <w:vAlign w:val="center"/>
            <w:hideMark/>
          </w:tcPr>
          <w:p w14:paraId="45185F32"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32.22</w:t>
            </w:r>
          </w:p>
        </w:tc>
        <w:tc>
          <w:tcPr>
            <w:tcW w:w="980" w:type="dxa"/>
            <w:tcBorders>
              <w:top w:val="nil"/>
              <w:left w:val="nil"/>
              <w:bottom w:val="single" w:sz="4" w:space="0" w:color="D9E2F3"/>
              <w:right w:val="nil"/>
            </w:tcBorders>
            <w:noWrap/>
            <w:vAlign w:val="center"/>
            <w:hideMark/>
          </w:tcPr>
          <w:p w14:paraId="5308D04A"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33.25</w:t>
            </w:r>
          </w:p>
        </w:tc>
        <w:tc>
          <w:tcPr>
            <w:tcW w:w="1560" w:type="dxa"/>
            <w:tcBorders>
              <w:top w:val="nil"/>
              <w:left w:val="nil"/>
              <w:bottom w:val="single" w:sz="4" w:space="0" w:color="D9E2F3"/>
              <w:right w:val="nil"/>
            </w:tcBorders>
            <w:noWrap/>
            <w:vAlign w:val="center"/>
            <w:hideMark/>
          </w:tcPr>
          <w:p w14:paraId="142B7988"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339.50</w:t>
            </w:r>
          </w:p>
        </w:tc>
        <w:tc>
          <w:tcPr>
            <w:tcW w:w="1540" w:type="dxa"/>
            <w:tcBorders>
              <w:top w:val="nil"/>
              <w:left w:val="nil"/>
              <w:bottom w:val="single" w:sz="4" w:space="0" w:color="D9E2F3"/>
              <w:right w:val="nil"/>
            </w:tcBorders>
            <w:noWrap/>
            <w:vAlign w:val="center"/>
            <w:hideMark/>
          </w:tcPr>
          <w:p w14:paraId="62E2174B"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12.07</w:t>
            </w:r>
          </w:p>
        </w:tc>
      </w:tr>
      <w:tr w:rsidR="00C4099C" w14:paraId="67415120" w14:textId="77777777" w:rsidTr="00C4099C">
        <w:trPr>
          <w:trHeight w:val="290"/>
          <w:jc w:val="center"/>
        </w:trPr>
        <w:tc>
          <w:tcPr>
            <w:tcW w:w="1520" w:type="dxa"/>
            <w:tcBorders>
              <w:top w:val="nil"/>
              <w:left w:val="nil"/>
              <w:bottom w:val="single" w:sz="4" w:space="0" w:color="D9E2F3"/>
              <w:right w:val="nil"/>
            </w:tcBorders>
            <w:noWrap/>
            <w:vAlign w:val="center"/>
            <w:hideMark/>
          </w:tcPr>
          <w:p w14:paraId="3F7433C0" w14:textId="77777777" w:rsidR="00C4099C" w:rsidRDefault="00C4099C">
            <w:pPr>
              <w:rPr>
                <w:rFonts w:ascii="Helvetica" w:hAnsi="Helvetica" w:cs="Helvetica"/>
                <w:color w:val="000000"/>
                <w:sz w:val="14"/>
                <w:szCs w:val="14"/>
              </w:rPr>
            </w:pPr>
            <w:r>
              <w:rPr>
                <w:rFonts w:ascii="Helvetica" w:hAnsi="Helvetica" w:cs="Helvetica"/>
                <w:color w:val="000000"/>
                <w:sz w:val="14"/>
                <w:szCs w:val="14"/>
              </w:rPr>
              <w:t>Performer</w:t>
            </w:r>
          </w:p>
        </w:tc>
        <w:tc>
          <w:tcPr>
            <w:tcW w:w="1120" w:type="dxa"/>
            <w:tcBorders>
              <w:top w:val="nil"/>
              <w:left w:val="nil"/>
              <w:bottom w:val="single" w:sz="4" w:space="0" w:color="D9E2F3"/>
              <w:right w:val="nil"/>
            </w:tcBorders>
            <w:noWrap/>
            <w:vAlign w:val="center"/>
            <w:hideMark/>
          </w:tcPr>
          <w:p w14:paraId="67F2114F"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397,956</w:t>
            </w:r>
          </w:p>
        </w:tc>
        <w:tc>
          <w:tcPr>
            <w:tcW w:w="1140" w:type="dxa"/>
            <w:tcBorders>
              <w:top w:val="nil"/>
              <w:left w:val="nil"/>
              <w:bottom w:val="single" w:sz="4" w:space="0" w:color="D9E2F3"/>
              <w:right w:val="nil"/>
            </w:tcBorders>
            <w:noWrap/>
            <w:vAlign w:val="center"/>
            <w:hideMark/>
          </w:tcPr>
          <w:p w14:paraId="4C8EE541"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66.15</w:t>
            </w:r>
          </w:p>
        </w:tc>
        <w:tc>
          <w:tcPr>
            <w:tcW w:w="1620" w:type="dxa"/>
            <w:tcBorders>
              <w:top w:val="nil"/>
              <w:left w:val="nil"/>
              <w:bottom w:val="single" w:sz="4" w:space="0" w:color="D9E2F3"/>
              <w:right w:val="nil"/>
            </w:tcBorders>
            <w:noWrap/>
            <w:vAlign w:val="center"/>
            <w:hideMark/>
          </w:tcPr>
          <w:p w14:paraId="20FDDB7C"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18.28</w:t>
            </w:r>
          </w:p>
        </w:tc>
        <w:tc>
          <w:tcPr>
            <w:tcW w:w="980" w:type="dxa"/>
            <w:tcBorders>
              <w:top w:val="nil"/>
              <w:left w:val="nil"/>
              <w:bottom w:val="single" w:sz="4" w:space="0" w:color="D9E2F3"/>
              <w:right w:val="nil"/>
            </w:tcBorders>
            <w:noWrap/>
            <w:vAlign w:val="center"/>
            <w:hideMark/>
          </w:tcPr>
          <w:p w14:paraId="45D9FAF7"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18.23</w:t>
            </w:r>
          </w:p>
        </w:tc>
        <w:tc>
          <w:tcPr>
            <w:tcW w:w="1560" w:type="dxa"/>
            <w:tcBorders>
              <w:top w:val="nil"/>
              <w:left w:val="nil"/>
              <w:bottom w:val="single" w:sz="4" w:space="0" w:color="D9E2F3"/>
              <w:right w:val="nil"/>
            </w:tcBorders>
            <w:noWrap/>
            <w:vAlign w:val="center"/>
            <w:hideMark/>
          </w:tcPr>
          <w:p w14:paraId="567DA42E"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619.42</w:t>
            </w:r>
          </w:p>
        </w:tc>
        <w:tc>
          <w:tcPr>
            <w:tcW w:w="1540" w:type="dxa"/>
            <w:tcBorders>
              <w:top w:val="nil"/>
              <w:left w:val="nil"/>
              <w:bottom w:val="single" w:sz="4" w:space="0" w:color="D9E2F3"/>
              <w:right w:val="nil"/>
            </w:tcBorders>
            <w:noWrap/>
            <w:vAlign w:val="center"/>
            <w:hideMark/>
          </w:tcPr>
          <w:p w14:paraId="2D10595F" w14:textId="77777777" w:rsidR="00C4099C" w:rsidRDefault="00C4099C">
            <w:pPr>
              <w:jc w:val="right"/>
              <w:rPr>
                <w:rFonts w:ascii="Helvetica" w:hAnsi="Helvetica" w:cs="Helvetica"/>
                <w:color w:val="000000"/>
                <w:sz w:val="14"/>
                <w:szCs w:val="14"/>
              </w:rPr>
            </w:pPr>
            <w:r>
              <w:rPr>
                <w:rFonts w:ascii="Helvetica" w:hAnsi="Helvetica" w:cs="Helvetica"/>
                <w:color w:val="000000"/>
                <w:sz w:val="14"/>
                <w:szCs w:val="14"/>
              </w:rPr>
              <w:t>6.58</w:t>
            </w:r>
          </w:p>
        </w:tc>
      </w:tr>
    </w:tbl>
    <w:p w14:paraId="7280916A" w14:textId="77777777" w:rsidR="000A5F7C" w:rsidRPr="000A5F7C" w:rsidRDefault="000A5F7C" w:rsidP="000A5F7C">
      <w:pPr>
        <w:jc w:val="both"/>
        <w:rPr>
          <w:rFonts w:ascii="Helvetica" w:hAnsi="Helvetica" w:cs="Helvetica"/>
          <w:sz w:val="18"/>
          <w:szCs w:val="18"/>
          <w:lang w:val="en-GB"/>
        </w:rPr>
      </w:pPr>
    </w:p>
    <w:p w14:paraId="25C1BB0E" w14:textId="62ECC95E" w:rsidR="000B040B" w:rsidRDefault="0057356C">
      <w:pPr>
        <w:rPr>
          <w:rFonts w:ascii="Helvetica" w:hAnsi="Helvetica" w:cs="Helvetica"/>
          <w:sz w:val="20"/>
          <w:szCs w:val="20"/>
          <w:lang w:val="en-GB"/>
        </w:rPr>
      </w:pPr>
      <w:r w:rsidRPr="000A5F7C">
        <w:rPr>
          <w:rFonts w:ascii="Helvetica" w:hAnsi="Helvetica" w:cs="Helvetica"/>
          <w:sz w:val="20"/>
          <w:szCs w:val="20"/>
          <w:lang w:val="en-GB"/>
        </w:rPr>
        <w:br w:type="page"/>
      </w:r>
    </w:p>
    <w:p w14:paraId="3AA8ABF1" w14:textId="0F90F18A" w:rsidR="000B040B" w:rsidRPr="00CD3F72" w:rsidRDefault="000B040B" w:rsidP="00AA20B2">
      <w:pPr>
        <w:spacing w:line="480" w:lineRule="auto"/>
        <w:jc w:val="both"/>
        <w:rPr>
          <w:rFonts w:ascii="Helvetica" w:hAnsi="Helvetica" w:cs="Helvetica"/>
          <w:sz w:val="18"/>
          <w:szCs w:val="18"/>
          <w:lang w:val="en-US"/>
        </w:rPr>
      </w:pPr>
      <w:r w:rsidRPr="00743A65">
        <w:rPr>
          <w:rFonts w:ascii="Helvetica" w:hAnsi="Helvetica" w:cs="Helvetica"/>
          <w:b/>
          <w:bCs/>
          <w:sz w:val="18"/>
          <w:szCs w:val="18"/>
          <w:lang w:val="en-GB"/>
        </w:rPr>
        <w:t>Table S</w:t>
      </w:r>
      <w:r w:rsidR="00E55762">
        <w:rPr>
          <w:rFonts w:ascii="Helvetica" w:hAnsi="Helvetica" w:cs="Helvetica"/>
          <w:b/>
          <w:bCs/>
          <w:sz w:val="18"/>
          <w:szCs w:val="18"/>
          <w:lang w:val="en-GB"/>
        </w:rPr>
        <w:t>3</w:t>
      </w:r>
      <w:r w:rsidRPr="00743A65">
        <w:rPr>
          <w:rFonts w:ascii="Helvetica" w:hAnsi="Helvetica" w:cs="Helvetica"/>
          <w:b/>
          <w:bCs/>
          <w:sz w:val="18"/>
          <w:szCs w:val="18"/>
          <w:lang w:val="en-GB"/>
        </w:rPr>
        <w:t xml:space="preserve">. </w:t>
      </w:r>
      <w:r w:rsidR="000F1341" w:rsidRPr="000F1341">
        <w:rPr>
          <w:rFonts w:ascii="Helvetica" w:hAnsi="Helvetica" w:cs="Helvetica"/>
          <w:b/>
          <w:bCs/>
          <w:sz w:val="18"/>
          <w:szCs w:val="18"/>
          <w:lang w:val="en-GB"/>
        </w:rPr>
        <w:t xml:space="preserve">Cross-method summary of regional evidence from Transformer attention, G×I attribution, and alignment-based sequence analyses. </w:t>
      </w:r>
      <w:r w:rsidR="000F1341" w:rsidRPr="000F1341">
        <w:rPr>
          <w:rFonts w:ascii="Helvetica" w:hAnsi="Helvetica" w:cs="Helvetica"/>
          <w:sz w:val="18"/>
          <w:szCs w:val="18"/>
          <w:lang w:val="en-GB"/>
        </w:rPr>
        <w:t>All 13 annotated DENV genomic regions are represented individually or in groups with similar evidence profiles. Attention and Gradient × Input (G×I) summaries integrate cross-strategy omnibus effect-size rankings and pairwise consensus across geographical, temporal, and CD-HIT cluster-aware validation, whereas the MSA context summarizes within-serotype entropy and serotype-vs-others Jensen</w:t>
      </w:r>
      <w:r w:rsidR="00626940" w:rsidRPr="00626940">
        <w:rPr>
          <w:rFonts w:ascii="Helvetica" w:hAnsi="Helvetica" w:cs="Helvetica"/>
          <w:sz w:val="18"/>
          <w:szCs w:val="18"/>
          <w:lang w:val="en-US"/>
        </w:rPr>
        <w:t>–</w:t>
      </w:r>
      <w:r w:rsidR="000F1341" w:rsidRPr="000F1341">
        <w:rPr>
          <w:rFonts w:ascii="Helvetica" w:hAnsi="Helvetica" w:cs="Helvetica"/>
          <w:sz w:val="18"/>
          <w:szCs w:val="18"/>
          <w:lang w:val="en-GB"/>
        </w:rPr>
        <w:t>Shannon divergence.</w:t>
      </w:r>
      <w:r w:rsidR="00CD3F72">
        <w:rPr>
          <w:rFonts w:ascii="Helvetica" w:hAnsi="Helvetica" w:cs="Helvetica"/>
          <w:sz w:val="18"/>
          <w:szCs w:val="18"/>
          <w:lang w:val="en-GB"/>
        </w:rPr>
        <w:t xml:space="preserve"> </w:t>
      </w:r>
      <w:r w:rsidR="00CD3F72" w:rsidRPr="00CD3F72">
        <w:rPr>
          <w:rFonts w:ascii="Helvetica" w:hAnsi="Helvetica" w:cs="Helvetica"/>
          <w:sz w:val="18"/>
          <w:szCs w:val="18"/>
          <w:lang w:val="en-US"/>
        </w:rPr>
        <w:t>Interpretation is limited to regional concordance among model-derived and sequence-level analyses; causal, mutation-level, and experimentally validated biological determinants were not assessed.</w:t>
      </w:r>
    </w:p>
    <w:tbl>
      <w:tblPr>
        <w:tblW w:w="0" w:type="auto"/>
        <w:jc w:val="center"/>
        <w:tblBorders>
          <w:top w:val="single" w:sz="5" w:space="0" w:color="B4C7E7"/>
          <w:left w:val="single" w:sz="5" w:space="0" w:color="B4C7E7"/>
          <w:bottom w:val="single" w:sz="5" w:space="0" w:color="B4C7E7"/>
          <w:right w:val="single" w:sz="5" w:space="0" w:color="B4C7E7"/>
          <w:insideH w:val="single" w:sz="5" w:space="0" w:color="B4C7E7"/>
          <w:insideV w:val="single" w:sz="5" w:space="0" w:color="B4C7E7"/>
        </w:tblBorders>
        <w:tblLayout w:type="fixed"/>
        <w:tblLook w:val="04A0" w:firstRow="1" w:lastRow="0" w:firstColumn="1" w:lastColumn="0" w:noHBand="0" w:noVBand="1"/>
      </w:tblPr>
      <w:tblGrid>
        <w:gridCol w:w="1412"/>
        <w:gridCol w:w="2030"/>
        <w:gridCol w:w="2030"/>
        <w:gridCol w:w="2030"/>
        <w:gridCol w:w="2030"/>
      </w:tblGrid>
      <w:tr w:rsidR="00160BE3" w14:paraId="7BBC73D0" w14:textId="77777777" w:rsidTr="00CD3F72">
        <w:trPr>
          <w:cantSplit/>
          <w:tblHeader/>
          <w:jc w:val="center"/>
        </w:trPr>
        <w:tc>
          <w:tcPr>
            <w:tcW w:w="1412" w:type="dxa"/>
            <w:shd w:val="clear" w:color="auto" w:fill="17365D"/>
            <w:tcMar>
              <w:top w:w="80" w:type="dxa"/>
              <w:left w:w="70" w:type="dxa"/>
              <w:bottom w:w="80" w:type="dxa"/>
              <w:right w:w="70" w:type="dxa"/>
            </w:tcMar>
            <w:vAlign w:val="center"/>
          </w:tcPr>
          <w:p w14:paraId="49910A49" w14:textId="77777777" w:rsidR="00160BE3" w:rsidRDefault="00160BE3" w:rsidP="00566A01">
            <w:pPr>
              <w:spacing w:line="276" w:lineRule="auto"/>
              <w:jc w:val="center"/>
            </w:pPr>
            <w:r>
              <w:rPr>
                <w:rFonts w:ascii="Helvetica" w:eastAsia="Helvetica" w:hAnsi="Helvetica" w:cs="Helvetica"/>
                <w:b/>
                <w:color w:val="FFFFFF"/>
                <w:sz w:val="15"/>
              </w:rPr>
              <w:t>Region</w:t>
            </w:r>
          </w:p>
        </w:tc>
        <w:tc>
          <w:tcPr>
            <w:tcW w:w="2030" w:type="dxa"/>
            <w:shd w:val="clear" w:color="auto" w:fill="17365D"/>
            <w:tcMar>
              <w:top w:w="80" w:type="dxa"/>
              <w:left w:w="70" w:type="dxa"/>
              <w:bottom w:w="80" w:type="dxa"/>
              <w:right w:w="70" w:type="dxa"/>
            </w:tcMar>
            <w:vAlign w:val="center"/>
          </w:tcPr>
          <w:p w14:paraId="5C445FC5" w14:textId="77777777" w:rsidR="00160BE3" w:rsidRDefault="00160BE3" w:rsidP="00566A01">
            <w:pPr>
              <w:spacing w:line="276" w:lineRule="auto"/>
              <w:jc w:val="center"/>
            </w:pPr>
            <w:r>
              <w:rPr>
                <w:rFonts w:ascii="Helvetica" w:eastAsia="Helvetica" w:hAnsi="Helvetica" w:cs="Helvetica"/>
                <w:b/>
                <w:color w:val="FFFFFF"/>
                <w:sz w:val="15"/>
              </w:rPr>
              <w:t xml:space="preserve">Transformer </w:t>
            </w:r>
            <w:proofErr w:type="spellStart"/>
            <w:r>
              <w:rPr>
                <w:rFonts w:ascii="Helvetica" w:eastAsia="Helvetica" w:hAnsi="Helvetica" w:cs="Helvetica"/>
                <w:b/>
                <w:color w:val="FFFFFF"/>
                <w:sz w:val="15"/>
              </w:rPr>
              <w:t>attention</w:t>
            </w:r>
            <w:proofErr w:type="spellEnd"/>
          </w:p>
        </w:tc>
        <w:tc>
          <w:tcPr>
            <w:tcW w:w="2030" w:type="dxa"/>
            <w:shd w:val="clear" w:color="auto" w:fill="17365D"/>
            <w:tcMar>
              <w:top w:w="80" w:type="dxa"/>
              <w:left w:w="70" w:type="dxa"/>
              <w:bottom w:w="80" w:type="dxa"/>
              <w:right w:w="70" w:type="dxa"/>
            </w:tcMar>
            <w:vAlign w:val="center"/>
          </w:tcPr>
          <w:p w14:paraId="461AECD2" w14:textId="77777777" w:rsidR="00160BE3" w:rsidRDefault="00160BE3" w:rsidP="00566A01">
            <w:pPr>
              <w:spacing w:line="276" w:lineRule="auto"/>
              <w:jc w:val="center"/>
            </w:pPr>
            <w:r>
              <w:rPr>
                <w:rFonts w:ascii="Helvetica" w:eastAsia="Helvetica" w:hAnsi="Helvetica" w:cs="Helvetica"/>
                <w:b/>
                <w:color w:val="FFFFFF"/>
                <w:sz w:val="15"/>
              </w:rPr>
              <w:t xml:space="preserve">G×I </w:t>
            </w:r>
            <w:proofErr w:type="spellStart"/>
            <w:r>
              <w:rPr>
                <w:rFonts w:ascii="Helvetica" w:eastAsia="Helvetica" w:hAnsi="Helvetica" w:cs="Helvetica"/>
                <w:b/>
                <w:color w:val="FFFFFF"/>
                <w:sz w:val="15"/>
              </w:rPr>
              <w:t>attribution</w:t>
            </w:r>
            <w:proofErr w:type="spellEnd"/>
          </w:p>
        </w:tc>
        <w:tc>
          <w:tcPr>
            <w:tcW w:w="2030" w:type="dxa"/>
            <w:shd w:val="clear" w:color="auto" w:fill="17365D"/>
            <w:tcMar>
              <w:top w:w="80" w:type="dxa"/>
              <w:left w:w="70" w:type="dxa"/>
              <w:bottom w:w="80" w:type="dxa"/>
              <w:right w:w="70" w:type="dxa"/>
            </w:tcMar>
            <w:vAlign w:val="center"/>
          </w:tcPr>
          <w:p w14:paraId="11FC0F7B" w14:textId="77777777" w:rsidR="00160BE3" w:rsidRDefault="00160BE3" w:rsidP="00566A01">
            <w:pPr>
              <w:spacing w:line="276" w:lineRule="auto"/>
              <w:jc w:val="center"/>
            </w:pPr>
            <w:r>
              <w:rPr>
                <w:rFonts w:ascii="Helvetica" w:eastAsia="Helvetica" w:hAnsi="Helvetica" w:cs="Helvetica"/>
                <w:b/>
                <w:color w:val="FFFFFF"/>
                <w:sz w:val="15"/>
              </w:rPr>
              <w:t>MSA context</w:t>
            </w:r>
          </w:p>
        </w:tc>
        <w:tc>
          <w:tcPr>
            <w:tcW w:w="2030" w:type="dxa"/>
            <w:shd w:val="clear" w:color="auto" w:fill="17365D"/>
            <w:tcMar>
              <w:top w:w="80" w:type="dxa"/>
              <w:left w:w="70" w:type="dxa"/>
              <w:bottom w:w="80" w:type="dxa"/>
              <w:right w:w="70" w:type="dxa"/>
            </w:tcMar>
            <w:vAlign w:val="center"/>
          </w:tcPr>
          <w:p w14:paraId="0DEA9756" w14:textId="77777777" w:rsidR="00160BE3" w:rsidRDefault="00160BE3" w:rsidP="00566A01">
            <w:pPr>
              <w:spacing w:line="276" w:lineRule="auto"/>
              <w:jc w:val="center"/>
            </w:pPr>
            <w:proofErr w:type="spellStart"/>
            <w:r>
              <w:rPr>
                <w:rFonts w:ascii="Helvetica" w:eastAsia="Helvetica" w:hAnsi="Helvetica" w:cs="Helvetica"/>
                <w:b/>
                <w:color w:val="FFFFFF"/>
                <w:sz w:val="15"/>
              </w:rPr>
              <w:t>Interpretation</w:t>
            </w:r>
            <w:proofErr w:type="spellEnd"/>
          </w:p>
        </w:tc>
      </w:tr>
      <w:tr w:rsidR="00160BE3" w:rsidRPr="00A96E65" w14:paraId="15BE5648" w14:textId="77777777" w:rsidTr="00CD3F72">
        <w:trPr>
          <w:cantSplit/>
          <w:jc w:val="center"/>
        </w:trPr>
        <w:tc>
          <w:tcPr>
            <w:tcW w:w="1412" w:type="dxa"/>
            <w:shd w:val="clear" w:color="auto" w:fill="EAF0F8"/>
            <w:tcMar>
              <w:top w:w="65" w:type="dxa"/>
              <w:left w:w="70" w:type="dxa"/>
              <w:bottom w:w="65" w:type="dxa"/>
              <w:right w:w="70" w:type="dxa"/>
            </w:tcMar>
            <w:vAlign w:val="center"/>
          </w:tcPr>
          <w:p w14:paraId="07B3EDE6" w14:textId="4CA9163D" w:rsidR="00160BE3" w:rsidRDefault="00160BE3" w:rsidP="00566A01">
            <w:pPr>
              <w:spacing w:line="276" w:lineRule="auto"/>
              <w:jc w:val="center"/>
            </w:pPr>
            <w:r>
              <w:rPr>
                <w:rFonts w:ascii="Helvetica" w:eastAsia="Helvetica" w:hAnsi="Helvetica" w:cs="Helvetica"/>
                <w:b/>
                <w:sz w:val="14"/>
              </w:rPr>
              <w:t>NS2B</w:t>
            </w:r>
            <w:r w:rsidR="00566A01">
              <w:rPr>
                <w:rFonts w:ascii="Helvetica" w:eastAsia="Helvetica" w:hAnsi="Helvetica" w:cs="Helvetica"/>
                <w:b/>
                <w:sz w:val="14"/>
              </w:rPr>
              <w:t xml:space="preserve">, </w:t>
            </w:r>
            <w:r>
              <w:rPr>
                <w:rFonts w:ascii="Helvetica" w:eastAsia="Helvetica" w:hAnsi="Helvetica" w:cs="Helvetica"/>
                <w:b/>
                <w:sz w:val="14"/>
              </w:rPr>
              <w:t>NS4B</w:t>
            </w:r>
          </w:p>
        </w:tc>
        <w:tc>
          <w:tcPr>
            <w:tcW w:w="2030" w:type="dxa"/>
            <w:tcMar>
              <w:top w:w="65" w:type="dxa"/>
              <w:left w:w="70" w:type="dxa"/>
              <w:bottom w:w="65" w:type="dxa"/>
              <w:right w:w="70" w:type="dxa"/>
            </w:tcMar>
            <w:vAlign w:val="center"/>
          </w:tcPr>
          <w:p w14:paraId="1CBA436F" w14:textId="77777777" w:rsidR="00160BE3" w:rsidRDefault="00160BE3" w:rsidP="00566A01">
            <w:pPr>
              <w:spacing w:line="276" w:lineRule="auto"/>
              <w:jc w:val="center"/>
            </w:pPr>
            <w:r w:rsidRPr="00160BE3">
              <w:rPr>
                <w:rFonts w:ascii="Helvetica" w:eastAsia="Helvetica" w:hAnsi="Helvetica" w:cs="Helvetica"/>
                <w:sz w:val="14"/>
                <w:lang w:val="en-GB"/>
              </w:rPr>
              <w:t xml:space="preserve">NS4B had the largest median omnibus attention effect size; NS2B was also among the more prominent regions. </w:t>
            </w:r>
            <w:proofErr w:type="spellStart"/>
            <w:r>
              <w:rPr>
                <w:rFonts w:ascii="Helvetica" w:eastAsia="Helvetica" w:hAnsi="Helvetica" w:cs="Helvetica"/>
                <w:sz w:val="14"/>
              </w:rPr>
              <w:t>Pairwise</w:t>
            </w:r>
            <w:proofErr w:type="spellEnd"/>
            <w:r>
              <w:rPr>
                <w:rFonts w:ascii="Helvetica" w:eastAsia="Helvetica" w:hAnsi="Helvetica" w:cs="Helvetica"/>
                <w:sz w:val="14"/>
              </w:rPr>
              <w:t xml:space="preserve"> consensus </w:t>
            </w:r>
            <w:proofErr w:type="spellStart"/>
            <w:r>
              <w:rPr>
                <w:rFonts w:ascii="Helvetica" w:eastAsia="Helvetica" w:hAnsi="Helvetica" w:cs="Helvetica"/>
                <w:sz w:val="14"/>
              </w:rPr>
              <w:t>was</w:t>
            </w:r>
            <w:proofErr w:type="spellEnd"/>
            <w:r>
              <w:rPr>
                <w:rFonts w:ascii="Helvetica" w:eastAsia="Helvetica" w:hAnsi="Helvetica" w:cs="Helvetica"/>
                <w:sz w:val="14"/>
              </w:rPr>
              <w:t xml:space="preserve"> </w:t>
            </w:r>
            <w:proofErr w:type="spellStart"/>
            <w:r>
              <w:rPr>
                <w:rFonts w:ascii="Helvetica" w:eastAsia="Helvetica" w:hAnsi="Helvetica" w:cs="Helvetica"/>
                <w:sz w:val="14"/>
              </w:rPr>
              <w:t>broader</w:t>
            </w:r>
            <w:proofErr w:type="spellEnd"/>
            <w:r>
              <w:rPr>
                <w:rFonts w:ascii="Helvetica" w:eastAsia="Helvetica" w:hAnsi="Helvetica" w:cs="Helvetica"/>
                <w:sz w:val="14"/>
              </w:rPr>
              <w:t xml:space="preserve"> for NS2B </w:t>
            </w:r>
            <w:proofErr w:type="spellStart"/>
            <w:r>
              <w:rPr>
                <w:rFonts w:ascii="Helvetica" w:eastAsia="Helvetica" w:hAnsi="Helvetica" w:cs="Helvetica"/>
                <w:sz w:val="14"/>
              </w:rPr>
              <w:t>than</w:t>
            </w:r>
            <w:proofErr w:type="spellEnd"/>
            <w:r>
              <w:rPr>
                <w:rFonts w:ascii="Helvetica" w:eastAsia="Helvetica" w:hAnsi="Helvetica" w:cs="Helvetica"/>
                <w:sz w:val="14"/>
              </w:rPr>
              <w:t xml:space="preserve"> for NS4B.</w:t>
            </w:r>
          </w:p>
        </w:tc>
        <w:tc>
          <w:tcPr>
            <w:tcW w:w="2030" w:type="dxa"/>
            <w:tcMar>
              <w:top w:w="65" w:type="dxa"/>
              <w:left w:w="70" w:type="dxa"/>
              <w:bottom w:w="65" w:type="dxa"/>
              <w:right w:w="70" w:type="dxa"/>
            </w:tcMar>
            <w:vAlign w:val="center"/>
          </w:tcPr>
          <w:p w14:paraId="30B9B99D"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Both were among the strongest omnibus G×I effect-size regions and each showed consensus differences in all six serotype comparisons.</w:t>
            </w:r>
          </w:p>
        </w:tc>
        <w:tc>
          <w:tcPr>
            <w:tcW w:w="2030" w:type="dxa"/>
            <w:tcMar>
              <w:top w:w="65" w:type="dxa"/>
              <w:left w:w="70" w:type="dxa"/>
              <w:bottom w:w="65" w:type="dxa"/>
              <w:right w:w="70" w:type="dxa"/>
            </w:tcMar>
            <w:vAlign w:val="center"/>
          </w:tcPr>
          <w:p w14:paraId="60129007"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Both were among the regions with the strongest serotype-vs-others divergence; NS4B also showed high within-serotype entropy.</w:t>
            </w:r>
          </w:p>
        </w:tc>
        <w:tc>
          <w:tcPr>
            <w:tcW w:w="2030" w:type="dxa"/>
            <w:tcMar>
              <w:top w:w="65" w:type="dxa"/>
              <w:left w:w="70" w:type="dxa"/>
              <w:bottom w:w="65" w:type="dxa"/>
              <w:right w:w="70" w:type="dxa"/>
            </w:tcMar>
            <w:vAlign w:val="center"/>
          </w:tcPr>
          <w:p w14:paraId="432C4E22" w14:textId="3D840255"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Clearest overall cross-method regional convergence.</w:t>
            </w:r>
          </w:p>
        </w:tc>
      </w:tr>
      <w:tr w:rsidR="00160BE3" w:rsidRPr="00A96E65" w14:paraId="56C20211" w14:textId="77777777" w:rsidTr="00CD3F72">
        <w:trPr>
          <w:cantSplit/>
          <w:jc w:val="center"/>
        </w:trPr>
        <w:tc>
          <w:tcPr>
            <w:tcW w:w="1412" w:type="dxa"/>
            <w:shd w:val="clear" w:color="auto" w:fill="EAF0F8"/>
            <w:tcMar>
              <w:top w:w="65" w:type="dxa"/>
              <w:left w:w="70" w:type="dxa"/>
              <w:bottom w:w="65" w:type="dxa"/>
              <w:right w:w="70" w:type="dxa"/>
            </w:tcMar>
            <w:vAlign w:val="center"/>
          </w:tcPr>
          <w:p w14:paraId="4200B929" w14:textId="77777777" w:rsidR="00160BE3" w:rsidRDefault="00160BE3" w:rsidP="00566A01">
            <w:pPr>
              <w:spacing w:line="276" w:lineRule="auto"/>
              <w:jc w:val="center"/>
            </w:pPr>
            <w:r>
              <w:rPr>
                <w:rFonts w:ascii="Helvetica" w:eastAsia="Helvetica" w:hAnsi="Helvetica" w:cs="Helvetica"/>
                <w:b/>
                <w:sz w:val="14"/>
              </w:rPr>
              <w:t>E</w:t>
            </w:r>
          </w:p>
        </w:tc>
        <w:tc>
          <w:tcPr>
            <w:tcW w:w="2030" w:type="dxa"/>
            <w:tcMar>
              <w:top w:w="65" w:type="dxa"/>
              <w:left w:w="70" w:type="dxa"/>
              <w:bottom w:w="65" w:type="dxa"/>
              <w:right w:w="70" w:type="dxa"/>
            </w:tcMar>
            <w:vAlign w:val="center"/>
          </w:tcPr>
          <w:p w14:paraId="30CC2BCB"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Among the regions with larger attention effect sizes, with consensus differences in five of six serotype comparisons.</w:t>
            </w:r>
          </w:p>
        </w:tc>
        <w:tc>
          <w:tcPr>
            <w:tcW w:w="2030" w:type="dxa"/>
            <w:tcMar>
              <w:top w:w="65" w:type="dxa"/>
              <w:left w:w="70" w:type="dxa"/>
              <w:bottom w:w="65" w:type="dxa"/>
              <w:right w:w="70" w:type="dxa"/>
            </w:tcMar>
            <w:vAlign w:val="center"/>
          </w:tcPr>
          <w:p w14:paraId="23B8D2AE"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One of the strongest G×I effect-size regions, with consensus differences in five of six comparisons.</w:t>
            </w:r>
          </w:p>
        </w:tc>
        <w:tc>
          <w:tcPr>
            <w:tcW w:w="2030" w:type="dxa"/>
            <w:tcMar>
              <w:top w:w="65" w:type="dxa"/>
              <w:left w:w="70" w:type="dxa"/>
              <w:bottom w:w="65" w:type="dxa"/>
              <w:right w:w="70" w:type="dxa"/>
            </w:tcMar>
            <w:vAlign w:val="center"/>
          </w:tcPr>
          <w:p w14:paraId="04771F14" w14:textId="75855A8B"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Intermediate within-serotype variability, but not among the strongest Jensen</w:t>
            </w:r>
            <w:r w:rsidR="00626940" w:rsidRPr="00626940">
              <w:rPr>
                <w:rFonts w:ascii="Helvetica" w:eastAsia="Helvetica" w:hAnsi="Helvetica" w:cs="Helvetica"/>
                <w:sz w:val="14"/>
                <w:lang w:val="en-US"/>
              </w:rPr>
              <w:t>–</w:t>
            </w:r>
            <w:r w:rsidRPr="000F1341">
              <w:rPr>
                <w:rFonts w:ascii="Helvetica" w:eastAsia="Helvetica" w:hAnsi="Helvetica" w:cs="Helvetica"/>
                <w:sz w:val="14"/>
                <w:lang w:val="en-GB"/>
              </w:rPr>
              <w:t>Shannon divergence regions.</w:t>
            </w:r>
          </w:p>
        </w:tc>
        <w:tc>
          <w:tcPr>
            <w:tcW w:w="2030" w:type="dxa"/>
            <w:tcMar>
              <w:top w:w="65" w:type="dxa"/>
              <w:left w:w="70" w:type="dxa"/>
              <w:bottom w:w="65" w:type="dxa"/>
              <w:right w:w="70" w:type="dxa"/>
            </w:tcMar>
            <w:vAlign w:val="center"/>
          </w:tcPr>
          <w:p w14:paraId="68EFE8C7" w14:textId="4E40F242"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Concordant model-derived evidence with established antigenic context.</w:t>
            </w:r>
          </w:p>
        </w:tc>
      </w:tr>
      <w:tr w:rsidR="00160BE3" w14:paraId="19296C80" w14:textId="77777777" w:rsidTr="00CD3F72">
        <w:trPr>
          <w:cantSplit/>
          <w:jc w:val="center"/>
        </w:trPr>
        <w:tc>
          <w:tcPr>
            <w:tcW w:w="1412" w:type="dxa"/>
            <w:shd w:val="clear" w:color="auto" w:fill="EAF0F8"/>
            <w:tcMar>
              <w:top w:w="65" w:type="dxa"/>
              <w:left w:w="70" w:type="dxa"/>
              <w:bottom w:w="65" w:type="dxa"/>
              <w:right w:w="70" w:type="dxa"/>
            </w:tcMar>
            <w:vAlign w:val="center"/>
          </w:tcPr>
          <w:p w14:paraId="6BD635F7" w14:textId="6549C97D" w:rsidR="00160BE3" w:rsidRDefault="00160BE3" w:rsidP="00566A01">
            <w:pPr>
              <w:spacing w:line="276" w:lineRule="auto"/>
              <w:jc w:val="center"/>
            </w:pPr>
            <w:r>
              <w:rPr>
                <w:rFonts w:ascii="Helvetica" w:eastAsia="Helvetica" w:hAnsi="Helvetica" w:cs="Helvetica"/>
                <w:b/>
                <w:sz w:val="14"/>
              </w:rPr>
              <w:t>NS1, NS4A, 2K</w:t>
            </w:r>
          </w:p>
        </w:tc>
        <w:tc>
          <w:tcPr>
            <w:tcW w:w="2030" w:type="dxa"/>
            <w:tcMar>
              <w:top w:w="65" w:type="dxa"/>
              <w:left w:w="70" w:type="dxa"/>
              <w:bottom w:w="65" w:type="dxa"/>
              <w:right w:w="70" w:type="dxa"/>
            </w:tcMar>
            <w:vAlign w:val="center"/>
          </w:tcPr>
          <w:p w14:paraId="13E1453C"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All three ranked among the larger attention effect-size regions. Pairwise consensus was strongest for NS1 and 2K and more limited for NS4A.</w:t>
            </w:r>
          </w:p>
        </w:tc>
        <w:tc>
          <w:tcPr>
            <w:tcW w:w="2030" w:type="dxa"/>
            <w:tcMar>
              <w:top w:w="65" w:type="dxa"/>
              <w:left w:w="70" w:type="dxa"/>
              <w:bottom w:w="65" w:type="dxa"/>
              <w:right w:w="70" w:type="dxa"/>
            </w:tcMar>
            <w:vAlign w:val="center"/>
          </w:tcPr>
          <w:p w14:paraId="4429D60E"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All three were among the strongest G×I effect-size regions; NS1 and NS4A showed six-of-six pairwise support and 2K five-of-six.</w:t>
            </w:r>
          </w:p>
        </w:tc>
        <w:tc>
          <w:tcPr>
            <w:tcW w:w="2030" w:type="dxa"/>
            <w:tcMar>
              <w:top w:w="65" w:type="dxa"/>
              <w:left w:w="70" w:type="dxa"/>
              <w:bottom w:w="65" w:type="dxa"/>
              <w:right w:w="70" w:type="dxa"/>
            </w:tcMar>
            <w:vAlign w:val="center"/>
          </w:tcPr>
          <w:p w14:paraId="1405A6F6"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Not among the strongest regions in the overall MSA summaries, although DENV4 showed relatively high entropy in NS1.</w:t>
            </w:r>
          </w:p>
        </w:tc>
        <w:tc>
          <w:tcPr>
            <w:tcW w:w="2030" w:type="dxa"/>
            <w:tcMar>
              <w:top w:w="65" w:type="dxa"/>
              <w:left w:w="70" w:type="dxa"/>
              <w:bottom w:w="65" w:type="dxa"/>
              <w:right w:w="70" w:type="dxa"/>
            </w:tcMar>
            <w:vAlign w:val="center"/>
          </w:tcPr>
          <w:p w14:paraId="37E2F6F8" w14:textId="77777777" w:rsidR="00160BE3" w:rsidRDefault="00160BE3" w:rsidP="00566A01">
            <w:pPr>
              <w:spacing w:line="276" w:lineRule="auto"/>
              <w:jc w:val="center"/>
            </w:pPr>
            <w:r w:rsidRPr="000F1341">
              <w:rPr>
                <w:rFonts w:ascii="Helvetica" w:eastAsia="Helvetica" w:hAnsi="Helvetica" w:cs="Helvetica"/>
                <w:sz w:val="14"/>
                <w:lang w:val="en-GB"/>
              </w:rPr>
              <w:t xml:space="preserve">Strong cross-XAI concordance without equally strong sequence-summary concordance. </w:t>
            </w:r>
            <w:r>
              <w:rPr>
                <w:rFonts w:ascii="Helvetica" w:eastAsia="Helvetica" w:hAnsi="Helvetica" w:cs="Helvetica"/>
                <w:sz w:val="14"/>
              </w:rPr>
              <w:t xml:space="preserve">The short </w:t>
            </w:r>
            <w:proofErr w:type="spellStart"/>
            <w:r>
              <w:rPr>
                <w:rFonts w:ascii="Helvetica" w:eastAsia="Helvetica" w:hAnsi="Helvetica" w:cs="Helvetica"/>
                <w:sz w:val="14"/>
              </w:rPr>
              <w:t>length</w:t>
            </w:r>
            <w:proofErr w:type="spellEnd"/>
            <w:r>
              <w:rPr>
                <w:rFonts w:ascii="Helvetica" w:eastAsia="Helvetica" w:hAnsi="Helvetica" w:cs="Helvetica"/>
                <w:sz w:val="14"/>
              </w:rPr>
              <w:t xml:space="preserve"> of 2K </w:t>
            </w:r>
            <w:proofErr w:type="spellStart"/>
            <w:r>
              <w:rPr>
                <w:rFonts w:ascii="Helvetica" w:eastAsia="Helvetica" w:hAnsi="Helvetica" w:cs="Helvetica"/>
                <w:sz w:val="14"/>
              </w:rPr>
              <w:t>requires</w:t>
            </w:r>
            <w:proofErr w:type="spellEnd"/>
            <w:r>
              <w:rPr>
                <w:rFonts w:ascii="Helvetica" w:eastAsia="Helvetica" w:hAnsi="Helvetica" w:cs="Helvetica"/>
                <w:sz w:val="14"/>
              </w:rPr>
              <w:t xml:space="preserve"> </w:t>
            </w:r>
            <w:proofErr w:type="spellStart"/>
            <w:r>
              <w:rPr>
                <w:rFonts w:ascii="Helvetica" w:eastAsia="Helvetica" w:hAnsi="Helvetica" w:cs="Helvetica"/>
                <w:sz w:val="14"/>
              </w:rPr>
              <w:t>particular</w:t>
            </w:r>
            <w:proofErr w:type="spellEnd"/>
            <w:r>
              <w:rPr>
                <w:rFonts w:ascii="Helvetica" w:eastAsia="Helvetica" w:hAnsi="Helvetica" w:cs="Helvetica"/>
                <w:sz w:val="14"/>
              </w:rPr>
              <w:t xml:space="preserve"> </w:t>
            </w:r>
            <w:proofErr w:type="spellStart"/>
            <w:r>
              <w:rPr>
                <w:rFonts w:ascii="Helvetica" w:eastAsia="Helvetica" w:hAnsi="Helvetica" w:cs="Helvetica"/>
                <w:sz w:val="14"/>
              </w:rPr>
              <w:t>caution</w:t>
            </w:r>
            <w:proofErr w:type="spellEnd"/>
            <w:r>
              <w:rPr>
                <w:rFonts w:ascii="Helvetica" w:eastAsia="Helvetica" w:hAnsi="Helvetica" w:cs="Helvetica"/>
                <w:sz w:val="14"/>
              </w:rPr>
              <w:t>.</w:t>
            </w:r>
          </w:p>
        </w:tc>
      </w:tr>
      <w:tr w:rsidR="00160BE3" w:rsidRPr="00A96E65" w14:paraId="60089E5D" w14:textId="77777777" w:rsidTr="00CD3F72">
        <w:trPr>
          <w:cantSplit/>
          <w:jc w:val="center"/>
        </w:trPr>
        <w:tc>
          <w:tcPr>
            <w:tcW w:w="1412" w:type="dxa"/>
            <w:shd w:val="clear" w:color="auto" w:fill="EAF0F8"/>
            <w:tcMar>
              <w:top w:w="65" w:type="dxa"/>
              <w:left w:w="70" w:type="dxa"/>
              <w:bottom w:w="65" w:type="dxa"/>
              <w:right w:w="70" w:type="dxa"/>
            </w:tcMar>
            <w:vAlign w:val="center"/>
          </w:tcPr>
          <w:p w14:paraId="65342D42" w14:textId="77777777" w:rsidR="00160BE3" w:rsidRDefault="00160BE3" w:rsidP="00566A01">
            <w:pPr>
              <w:spacing w:line="276" w:lineRule="auto"/>
              <w:jc w:val="center"/>
            </w:pPr>
            <w:r>
              <w:rPr>
                <w:rFonts w:ascii="Helvetica" w:eastAsia="Helvetica" w:hAnsi="Helvetica" w:cs="Helvetica"/>
                <w:b/>
                <w:sz w:val="14"/>
              </w:rPr>
              <w:t>prM</w:t>
            </w:r>
          </w:p>
        </w:tc>
        <w:tc>
          <w:tcPr>
            <w:tcW w:w="2030" w:type="dxa"/>
            <w:tcMar>
              <w:top w:w="65" w:type="dxa"/>
              <w:left w:w="70" w:type="dxa"/>
              <w:bottom w:w="65" w:type="dxa"/>
              <w:right w:w="70" w:type="dxa"/>
            </w:tcMar>
            <w:vAlign w:val="center"/>
          </w:tcPr>
          <w:p w14:paraId="1DB9371D"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Less prominent in the attention effect-size ranking and supported in two of six pairwise comparisons.</w:t>
            </w:r>
          </w:p>
        </w:tc>
        <w:tc>
          <w:tcPr>
            <w:tcW w:w="2030" w:type="dxa"/>
            <w:tcMar>
              <w:top w:w="65" w:type="dxa"/>
              <w:left w:w="70" w:type="dxa"/>
              <w:bottom w:w="65" w:type="dxa"/>
              <w:right w:w="70" w:type="dxa"/>
            </w:tcMar>
            <w:vAlign w:val="center"/>
          </w:tcPr>
          <w:p w14:paraId="658409DB"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Among the strongest G×I omnibus effect-size regions, with consensus support in four of six pairwise comparisons.</w:t>
            </w:r>
          </w:p>
        </w:tc>
        <w:tc>
          <w:tcPr>
            <w:tcW w:w="2030" w:type="dxa"/>
            <w:tcMar>
              <w:top w:w="65" w:type="dxa"/>
              <w:left w:w="70" w:type="dxa"/>
              <w:bottom w:w="65" w:type="dxa"/>
              <w:right w:w="70" w:type="dxa"/>
            </w:tcMar>
            <w:vAlign w:val="center"/>
          </w:tcPr>
          <w:p w14:paraId="157B0ADA"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High within-serotype entropy and strong serotype-vs-others divergence.</w:t>
            </w:r>
          </w:p>
        </w:tc>
        <w:tc>
          <w:tcPr>
            <w:tcW w:w="2030" w:type="dxa"/>
            <w:tcMar>
              <w:top w:w="65" w:type="dxa"/>
              <w:left w:w="70" w:type="dxa"/>
              <w:bottom w:w="65" w:type="dxa"/>
              <w:right w:w="70" w:type="dxa"/>
            </w:tcMar>
            <w:vAlign w:val="center"/>
          </w:tcPr>
          <w:p w14:paraId="2C5BFD13"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Concordance between output sensitivity and sequence-level variation despite limited attention support.</w:t>
            </w:r>
          </w:p>
        </w:tc>
      </w:tr>
      <w:tr w:rsidR="00160BE3" w:rsidRPr="00A96E65" w14:paraId="30C0E335" w14:textId="77777777" w:rsidTr="00CD3F72">
        <w:trPr>
          <w:cantSplit/>
          <w:jc w:val="center"/>
        </w:trPr>
        <w:tc>
          <w:tcPr>
            <w:tcW w:w="1412" w:type="dxa"/>
            <w:shd w:val="clear" w:color="auto" w:fill="EAF0F8"/>
            <w:tcMar>
              <w:top w:w="65" w:type="dxa"/>
              <w:left w:w="70" w:type="dxa"/>
              <w:bottom w:w="65" w:type="dxa"/>
              <w:right w:w="70" w:type="dxa"/>
            </w:tcMar>
            <w:vAlign w:val="center"/>
          </w:tcPr>
          <w:p w14:paraId="45B0352B" w14:textId="656048DF" w:rsidR="00160BE3" w:rsidRDefault="00160BE3" w:rsidP="00566A01">
            <w:pPr>
              <w:spacing w:line="276" w:lineRule="auto"/>
              <w:jc w:val="center"/>
            </w:pPr>
            <w:r>
              <w:rPr>
                <w:rFonts w:ascii="Helvetica" w:eastAsia="Helvetica" w:hAnsi="Helvetica" w:cs="Helvetica"/>
                <w:b/>
                <w:sz w:val="14"/>
              </w:rPr>
              <w:t>5′UTR</w:t>
            </w:r>
            <w:r w:rsidR="00566A01">
              <w:rPr>
                <w:rFonts w:ascii="Helvetica" w:eastAsia="Helvetica" w:hAnsi="Helvetica" w:cs="Helvetica"/>
                <w:b/>
                <w:sz w:val="14"/>
              </w:rPr>
              <w:t xml:space="preserve">, </w:t>
            </w:r>
            <w:r>
              <w:rPr>
                <w:rFonts w:ascii="Helvetica" w:eastAsia="Helvetica" w:hAnsi="Helvetica" w:cs="Helvetica"/>
                <w:b/>
                <w:sz w:val="14"/>
              </w:rPr>
              <w:t>3′UTR</w:t>
            </w:r>
          </w:p>
        </w:tc>
        <w:tc>
          <w:tcPr>
            <w:tcW w:w="2030" w:type="dxa"/>
            <w:tcMar>
              <w:top w:w="65" w:type="dxa"/>
              <w:left w:w="70" w:type="dxa"/>
              <w:bottom w:w="65" w:type="dxa"/>
              <w:right w:w="70" w:type="dxa"/>
            </w:tcMar>
            <w:vAlign w:val="center"/>
          </w:tcPr>
          <w:p w14:paraId="13F4953B"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Both showed recurrent attention differences, with five-of-six pairwise comparisons supported for each region.</w:t>
            </w:r>
          </w:p>
        </w:tc>
        <w:tc>
          <w:tcPr>
            <w:tcW w:w="2030" w:type="dxa"/>
            <w:tcMar>
              <w:top w:w="65" w:type="dxa"/>
              <w:left w:w="70" w:type="dxa"/>
              <w:bottom w:w="65" w:type="dxa"/>
              <w:right w:w="70" w:type="dxa"/>
            </w:tcMar>
            <w:vAlign w:val="center"/>
          </w:tcPr>
          <w:p w14:paraId="290DAD69"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The 3′UTR showed six-of-six pairwise support despite a low omnibus effect-size ranking; the 5′UTR showed three-of-six pairwise support.</w:t>
            </w:r>
          </w:p>
        </w:tc>
        <w:tc>
          <w:tcPr>
            <w:tcW w:w="2030" w:type="dxa"/>
            <w:tcMar>
              <w:top w:w="65" w:type="dxa"/>
              <w:left w:w="70" w:type="dxa"/>
              <w:bottom w:w="65" w:type="dxa"/>
              <w:right w:w="70" w:type="dxa"/>
            </w:tcMar>
            <w:vAlign w:val="center"/>
          </w:tcPr>
          <w:p w14:paraId="0CC258BC"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Both were among the regions with the strongest serotype-vs-others divergence.</w:t>
            </w:r>
          </w:p>
        </w:tc>
        <w:tc>
          <w:tcPr>
            <w:tcW w:w="2030" w:type="dxa"/>
            <w:tcMar>
              <w:top w:w="65" w:type="dxa"/>
              <w:left w:w="70" w:type="dxa"/>
              <w:bottom w:w="65" w:type="dxa"/>
              <w:right w:w="70" w:type="dxa"/>
            </w:tcMar>
            <w:vAlign w:val="center"/>
          </w:tcPr>
          <w:p w14:paraId="16D2D1A2" w14:textId="735EDC1D"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Partial cross-method concordance, consistent with regional sequence divergence.</w:t>
            </w:r>
          </w:p>
        </w:tc>
      </w:tr>
      <w:tr w:rsidR="00160BE3" w:rsidRPr="00A96E65" w14:paraId="5E65375C" w14:textId="77777777" w:rsidTr="00CD3F72">
        <w:trPr>
          <w:cantSplit/>
          <w:jc w:val="center"/>
        </w:trPr>
        <w:tc>
          <w:tcPr>
            <w:tcW w:w="1412" w:type="dxa"/>
            <w:shd w:val="clear" w:color="auto" w:fill="EAF0F8"/>
            <w:tcMar>
              <w:top w:w="65" w:type="dxa"/>
              <w:left w:w="70" w:type="dxa"/>
              <w:bottom w:w="65" w:type="dxa"/>
              <w:right w:w="70" w:type="dxa"/>
            </w:tcMar>
            <w:vAlign w:val="center"/>
          </w:tcPr>
          <w:p w14:paraId="72D93A4C" w14:textId="39D8795D" w:rsidR="00160BE3" w:rsidRPr="000F1341" w:rsidRDefault="00160BE3" w:rsidP="00566A01">
            <w:pPr>
              <w:spacing w:line="276" w:lineRule="auto"/>
              <w:jc w:val="center"/>
              <w:rPr>
                <w:lang w:val="en-GB"/>
              </w:rPr>
            </w:pPr>
            <w:r w:rsidRPr="000F1341">
              <w:rPr>
                <w:rFonts w:ascii="Helvetica" w:eastAsia="Helvetica" w:hAnsi="Helvetica" w:cs="Helvetica"/>
                <w:b/>
                <w:sz w:val="14"/>
                <w:lang w:val="en-GB"/>
              </w:rPr>
              <w:t>C, NS2A, NS3, NS5</w:t>
            </w:r>
          </w:p>
        </w:tc>
        <w:tc>
          <w:tcPr>
            <w:tcW w:w="2030" w:type="dxa"/>
            <w:tcMar>
              <w:top w:w="65" w:type="dxa"/>
              <w:left w:w="70" w:type="dxa"/>
              <w:bottom w:w="65" w:type="dxa"/>
              <w:right w:w="70" w:type="dxa"/>
            </w:tcMar>
            <w:vAlign w:val="center"/>
          </w:tcPr>
          <w:p w14:paraId="129E71D8"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NS2A and NS3 were moderately prominent in the attention effect-size ranking; NS5 showed recurrent pairwise differences, whereas C had weak omnibus support.</w:t>
            </w:r>
          </w:p>
        </w:tc>
        <w:tc>
          <w:tcPr>
            <w:tcW w:w="2030" w:type="dxa"/>
            <w:tcMar>
              <w:top w:w="65" w:type="dxa"/>
              <w:left w:w="70" w:type="dxa"/>
              <w:bottom w:w="65" w:type="dxa"/>
              <w:right w:w="70" w:type="dxa"/>
            </w:tcMar>
            <w:vAlign w:val="center"/>
          </w:tcPr>
          <w:p w14:paraId="6382253D"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C showed six-of-six pairwise support; NS2A and NS5 showed five-of-six and NS3 four-of-six, with variable omnibus effect-size rankings.</w:t>
            </w:r>
          </w:p>
        </w:tc>
        <w:tc>
          <w:tcPr>
            <w:tcW w:w="2030" w:type="dxa"/>
            <w:tcMar>
              <w:top w:w="65" w:type="dxa"/>
              <w:left w:w="70" w:type="dxa"/>
              <w:bottom w:w="65" w:type="dxa"/>
              <w:right w:w="70" w:type="dxa"/>
            </w:tcMar>
            <w:vAlign w:val="center"/>
          </w:tcPr>
          <w:p w14:paraId="12DB70BA" w14:textId="77777777"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These regions were not among the strongest overall MSA summaries; C showed consistently low divergence.</w:t>
            </w:r>
          </w:p>
        </w:tc>
        <w:tc>
          <w:tcPr>
            <w:tcW w:w="2030" w:type="dxa"/>
            <w:tcMar>
              <w:top w:w="65" w:type="dxa"/>
              <w:left w:w="70" w:type="dxa"/>
              <w:bottom w:w="65" w:type="dxa"/>
              <w:right w:w="70" w:type="dxa"/>
            </w:tcMar>
            <w:vAlign w:val="center"/>
          </w:tcPr>
          <w:p w14:paraId="078041B3" w14:textId="3775EF99" w:rsidR="00160BE3" w:rsidRPr="000F1341" w:rsidRDefault="00160BE3" w:rsidP="00566A01">
            <w:pPr>
              <w:spacing w:line="276" w:lineRule="auto"/>
              <w:jc w:val="center"/>
              <w:rPr>
                <w:lang w:val="en-GB"/>
              </w:rPr>
            </w:pPr>
            <w:r w:rsidRPr="000F1341">
              <w:rPr>
                <w:rFonts w:ascii="Helvetica" w:eastAsia="Helvetica" w:hAnsi="Helvetica" w:cs="Helvetica"/>
                <w:sz w:val="14"/>
                <w:lang w:val="en-GB"/>
              </w:rPr>
              <w:t>Primarily method-specific or secondary evidence.</w:t>
            </w:r>
          </w:p>
        </w:tc>
      </w:tr>
    </w:tbl>
    <w:p w14:paraId="2369CE6F" w14:textId="77777777" w:rsidR="000B040B" w:rsidRDefault="000B040B">
      <w:pPr>
        <w:rPr>
          <w:rFonts w:ascii="Helvetica" w:hAnsi="Helvetica" w:cs="Helvetica"/>
          <w:sz w:val="20"/>
          <w:szCs w:val="20"/>
          <w:lang w:val="en-GB"/>
        </w:rPr>
      </w:pPr>
    </w:p>
    <w:p w14:paraId="5FDE0182" w14:textId="120A92A6" w:rsidR="0057356C" w:rsidRDefault="000B040B">
      <w:pPr>
        <w:rPr>
          <w:rFonts w:ascii="Helvetica" w:hAnsi="Helvetica" w:cs="Helvetica"/>
          <w:sz w:val="20"/>
          <w:szCs w:val="20"/>
          <w:lang w:val="en-GB"/>
        </w:rPr>
      </w:pPr>
      <w:r>
        <w:rPr>
          <w:rFonts w:ascii="Helvetica" w:hAnsi="Helvetica" w:cs="Helvetica"/>
          <w:sz w:val="20"/>
          <w:szCs w:val="20"/>
          <w:lang w:val="en-GB"/>
        </w:rPr>
        <w:br w:type="page"/>
      </w:r>
    </w:p>
    <w:p w14:paraId="20D2FD02" w14:textId="7A5EE365" w:rsidR="001E4D4A" w:rsidRPr="00CF3006" w:rsidRDefault="00A01AA1" w:rsidP="00DE59F4">
      <w:pPr>
        <w:spacing w:before="240" w:after="120" w:line="480" w:lineRule="auto"/>
        <w:jc w:val="both"/>
        <w:rPr>
          <w:rFonts w:ascii="Helvetica" w:hAnsi="Helvetica" w:cs="Helvetica"/>
          <w:b/>
          <w:bCs/>
          <w:sz w:val="20"/>
          <w:szCs w:val="20"/>
          <w:lang w:val="en-GB"/>
        </w:rPr>
      </w:pPr>
      <w:r w:rsidRPr="00CF3006">
        <w:rPr>
          <w:rFonts w:ascii="Helvetica" w:hAnsi="Helvetica" w:cs="Helvetica"/>
          <w:b/>
          <w:bCs/>
          <w:sz w:val="20"/>
          <w:szCs w:val="20"/>
          <w:lang w:val="en-GB"/>
        </w:rPr>
        <w:t>References</w:t>
      </w:r>
    </w:p>
    <w:p w14:paraId="777A78ED" w14:textId="77777777" w:rsidR="00AB3A76" w:rsidRPr="00AB3A76" w:rsidRDefault="00A01AA1" w:rsidP="00AB3A76">
      <w:pPr>
        <w:pStyle w:val="Bibliography"/>
        <w:rPr>
          <w:rFonts w:ascii="Helvetica" w:hAnsi="Helvetica" w:cs="Helvetica"/>
          <w:sz w:val="20"/>
          <w:szCs w:val="20"/>
          <w:lang w:val="en-US"/>
        </w:rPr>
      </w:pPr>
      <w:r w:rsidRPr="00AB3A76">
        <w:rPr>
          <w:rFonts w:ascii="Helvetica" w:hAnsi="Helvetica" w:cs="Helvetica"/>
          <w:sz w:val="20"/>
          <w:szCs w:val="20"/>
          <w:lang w:val="en-GB"/>
        </w:rPr>
        <w:fldChar w:fldCharType="begin"/>
      </w:r>
      <w:r w:rsidR="00AB3A76" w:rsidRPr="00AB3A76">
        <w:rPr>
          <w:rFonts w:ascii="Helvetica" w:hAnsi="Helvetica" w:cs="Helvetica"/>
          <w:sz w:val="20"/>
          <w:szCs w:val="20"/>
          <w:lang w:val="en-GB"/>
        </w:rPr>
        <w:instrText xml:space="preserve"> ADDIN ZOTERO_BIBL {"uncited":[],"omitted":[],"custom":[]} CSL_BIBLIOGRAPHY </w:instrText>
      </w:r>
      <w:r w:rsidRPr="00AB3A76">
        <w:rPr>
          <w:rFonts w:ascii="Helvetica" w:hAnsi="Helvetica" w:cs="Helvetica"/>
          <w:sz w:val="20"/>
          <w:szCs w:val="20"/>
          <w:lang w:val="en-GB"/>
        </w:rPr>
        <w:fldChar w:fldCharType="separate"/>
      </w:r>
      <w:r w:rsidR="00AB3A76" w:rsidRPr="00AB3A76">
        <w:rPr>
          <w:rFonts w:ascii="Helvetica" w:hAnsi="Helvetica" w:cs="Helvetica"/>
          <w:sz w:val="20"/>
          <w:szCs w:val="20"/>
          <w:lang w:val="en-US"/>
        </w:rPr>
        <w:t>1.</w:t>
      </w:r>
      <w:r w:rsidR="00AB3A76" w:rsidRPr="00AB3A76">
        <w:rPr>
          <w:rFonts w:ascii="Helvetica" w:hAnsi="Helvetica" w:cs="Helvetica"/>
          <w:sz w:val="20"/>
          <w:szCs w:val="20"/>
          <w:lang w:val="en-US"/>
        </w:rPr>
        <w:tab/>
        <w:t xml:space="preserve">Li, W. &amp; Godzik, A. Cd-hit: a fast program for clustering and comparing large sets of protein or nucleotide sequences. </w:t>
      </w:r>
      <w:r w:rsidR="00AB3A76" w:rsidRPr="00AB3A76">
        <w:rPr>
          <w:rFonts w:ascii="Helvetica" w:hAnsi="Helvetica" w:cs="Helvetica"/>
          <w:i/>
          <w:iCs/>
          <w:sz w:val="20"/>
          <w:szCs w:val="20"/>
          <w:lang w:val="en-US"/>
        </w:rPr>
        <w:t>Bioinformatics</w:t>
      </w:r>
      <w:r w:rsidR="00AB3A76" w:rsidRPr="00AB3A76">
        <w:rPr>
          <w:rFonts w:ascii="Helvetica" w:hAnsi="Helvetica" w:cs="Helvetica"/>
          <w:sz w:val="20"/>
          <w:szCs w:val="20"/>
          <w:lang w:val="en-US"/>
        </w:rPr>
        <w:t xml:space="preserve"> </w:t>
      </w:r>
      <w:r w:rsidR="00AB3A76" w:rsidRPr="00AB3A76">
        <w:rPr>
          <w:rFonts w:ascii="Helvetica" w:hAnsi="Helvetica" w:cs="Helvetica"/>
          <w:b/>
          <w:bCs/>
          <w:sz w:val="20"/>
          <w:szCs w:val="20"/>
          <w:lang w:val="en-US"/>
        </w:rPr>
        <w:t>22</w:t>
      </w:r>
      <w:r w:rsidR="00AB3A76" w:rsidRPr="00AB3A76">
        <w:rPr>
          <w:rFonts w:ascii="Helvetica" w:hAnsi="Helvetica" w:cs="Helvetica"/>
          <w:sz w:val="20"/>
          <w:szCs w:val="20"/>
          <w:lang w:val="en-US"/>
        </w:rPr>
        <w:t>, 1658–1659 (2006).</w:t>
      </w:r>
    </w:p>
    <w:p w14:paraId="307E23DE" w14:textId="77777777" w:rsidR="00AB3A76" w:rsidRPr="00AB3A76" w:rsidRDefault="00AB3A76" w:rsidP="00AB3A76">
      <w:pPr>
        <w:pStyle w:val="Bibliography"/>
        <w:rPr>
          <w:rFonts w:ascii="Helvetica" w:hAnsi="Helvetica" w:cs="Helvetica"/>
          <w:sz w:val="20"/>
          <w:szCs w:val="20"/>
          <w:lang w:val="en-US"/>
        </w:rPr>
      </w:pPr>
      <w:r w:rsidRPr="00AB3A76">
        <w:rPr>
          <w:rFonts w:ascii="Helvetica" w:hAnsi="Helvetica" w:cs="Helvetica"/>
          <w:sz w:val="20"/>
          <w:szCs w:val="20"/>
          <w:lang w:val="en-US"/>
        </w:rPr>
        <w:t>2.</w:t>
      </w:r>
      <w:r w:rsidRPr="00AB3A76">
        <w:rPr>
          <w:rFonts w:ascii="Helvetica" w:hAnsi="Helvetica" w:cs="Helvetica"/>
          <w:sz w:val="20"/>
          <w:szCs w:val="20"/>
          <w:lang w:val="en-US"/>
        </w:rPr>
        <w:tab/>
        <w:t xml:space="preserve">Katoh, K. &amp; Standley, D. M. MAFFT Multiple Sequence Alignment Software Version 7: Improvements in Performance and Usability. </w:t>
      </w:r>
      <w:r w:rsidRPr="00AB3A76">
        <w:rPr>
          <w:rFonts w:ascii="Helvetica" w:hAnsi="Helvetica" w:cs="Helvetica"/>
          <w:i/>
          <w:iCs/>
          <w:sz w:val="20"/>
          <w:szCs w:val="20"/>
          <w:lang w:val="en-US"/>
        </w:rPr>
        <w:t>Mol. Biol. Evol.</w:t>
      </w:r>
      <w:r w:rsidRPr="00AB3A76">
        <w:rPr>
          <w:rFonts w:ascii="Helvetica" w:hAnsi="Helvetica" w:cs="Helvetica"/>
          <w:sz w:val="20"/>
          <w:szCs w:val="20"/>
          <w:lang w:val="en-US"/>
        </w:rPr>
        <w:t xml:space="preserve"> </w:t>
      </w:r>
      <w:r w:rsidRPr="00AB3A76">
        <w:rPr>
          <w:rFonts w:ascii="Helvetica" w:hAnsi="Helvetica" w:cs="Helvetica"/>
          <w:b/>
          <w:bCs/>
          <w:sz w:val="20"/>
          <w:szCs w:val="20"/>
          <w:lang w:val="en-US"/>
        </w:rPr>
        <w:t>30</w:t>
      </w:r>
      <w:r w:rsidRPr="00AB3A76">
        <w:rPr>
          <w:rFonts w:ascii="Helvetica" w:hAnsi="Helvetica" w:cs="Helvetica"/>
          <w:sz w:val="20"/>
          <w:szCs w:val="20"/>
          <w:lang w:val="en-US"/>
        </w:rPr>
        <w:t>, 772–780 (2013).</w:t>
      </w:r>
    </w:p>
    <w:p w14:paraId="7232DA94" w14:textId="77777777" w:rsidR="00AB3A76" w:rsidRPr="00AB3A76" w:rsidRDefault="00AB3A76" w:rsidP="00AB3A76">
      <w:pPr>
        <w:pStyle w:val="Bibliography"/>
        <w:rPr>
          <w:rFonts w:ascii="Helvetica" w:hAnsi="Helvetica" w:cs="Helvetica"/>
          <w:sz w:val="20"/>
          <w:szCs w:val="20"/>
          <w:lang w:val="en-US"/>
        </w:rPr>
      </w:pPr>
      <w:r w:rsidRPr="00AB3A76">
        <w:rPr>
          <w:rFonts w:ascii="Helvetica" w:hAnsi="Helvetica" w:cs="Helvetica"/>
          <w:sz w:val="20"/>
          <w:szCs w:val="20"/>
          <w:lang w:val="en-US"/>
        </w:rPr>
        <w:t>3.</w:t>
      </w:r>
      <w:r w:rsidRPr="00AB3A76">
        <w:rPr>
          <w:rFonts w:ascii="Helvetica" w:hAnsi="Helvetica" w:cs="Helvetica"/>
          <w:sz w:val="20"/>
          <w:szCs w:val="20"/>
          <w:lang w:val="en-US"/>
        </w:rPr>
        <w:tab/>
        <w:t xml:space="preserve">Tharanga, S. </w:t>
      </w:r>
      <w:r w:rsidRPr="00AB3A76">
        <w:rPr>
          <w:rFonts w:ascii="Helvetica" w:hAnsi="Helvetica" w:cs="Helvetica"/>
          <w:i/>
          <w:iCs/>
          <w:sz w:val="20"/>
          <w:szCs w:val="20"/>
          <w:lang w:val="en-US"/>
        </w:rPr>
        <w:t>et al.</w:t>
      </w:r>
      <w:r w:rsidRPr="00AB3A76">
        <w:rPr>
          <w:rFonts w:ascii="Helvetica" w:hAnsi="Helvetica" w:cs="Helvetica"/>
          <w:sz w:val="20"/>
          <w:szCs w:val="20"/>
          <w:lang w:val="en-US"/>
        </w:rPr>
        <w:t xml:space="preserve"> DiMA: sequence diversity dynamics analyser for viruses. </w:t>
      </w:r>
      <w:r w:rsidRPr="00AB3A76">
        <w:rPr>
          <w:rFonts w:ascii="Helvetica" w:hAnsi="Helvetica" w:cs="Helvetica"/>
          <w:i/>
          <w:iCs/>
          <w:sz w:val="20"/>
          <w:szCs w:val="20"/>
          <w:lang w:val="en-US"/>
        </w:rPr>
        <w:t>Brief. Bioinform.</w:t>
      </w:r>
      <w:r w:rsidRPr="00AB3A76">
        <w:rPr>
          <w:rFonts w:ascii="Helvetica" w:hAnsi="Helvetica" w:cs="Helvetica"/>
          <w:sz w:val="20"/>
          <w:szCs w:val="20"/>
          <w:lang w:val="en-US"/>
        </w:rPr>
        <w:t xml:space="preserve"> </w:t>
      </w:r>
      <w:r w:rsidRPr="00AB3A76">
        <w:rPr>
          <w:rFonts w:ascii="Helvetica" w:hAnsi="Helvetica" w:cs="Helvetica"/>
          <w:b/>
          <w:bCs/>
          <w:sz w:val="20"/>
          <w:szCs w:val="20"/>
          <w:lang w:val="en-US"/>
        </w:rPr>
        <w:t>26</w:t>
      </w:r>
      <w:r w:rsidRPr="00AB3A76">
        <w:rPr>
          <w:rFonts w:ascii="Helvetica" w:hAnsi="Helvetica" w:cs="Helvetica"/>
          <w:sz w:val="20"/>
          <w:szCs w:val="20"/>
          <w:lang w:val="en-US"/>
        </w:rPr>
        <w:t>, bbae607 (2024).</w:t>
      </w:r>
    </w:p>
    <w:p w14:paraId="23F8654A" w14:textId="77777777" w:rsidR="00AB3A76" w:rsidRPr="00AB3A76" w:rsidRDefault="00AB3A76" w:rsidP="00AB3A76">
      <w:pPr>
        <w:pStyle w:val="Bibliography"/>
        <w:rPr>
          <w:rFonts w:ascii="Helvetica" w:hAnsi="Helvetica" w:cs="Helvetica"/>
          <w:sz w:val="20"/>
          <w:szCs w:val="20"/>
          <w:lang w:val="en-US"/>
        </w:rPr>
      </w:pPr>
      <w:r w:rsidRPr="00AB3A76">
        <w:rPr>
          <w:rFonts w:ascii="Helvetica" w:hAnsi="Helvetica" w:cs="Helvetica"/>
          <w:sz w:val="20"/>
          <w:szCs w:val="20"/>
          <w:lang w:val="en-US"/>
        </w:rPr>
        <w:t>4.</w:t>
      </w:r>
      <w:r w:rsidRPr="00AB3A76">
        <w:rPr>
          <w:rFonts w:ascii="Helvetica" w:hAnsi="Helvetica" w:cs="Helvetica"/>
          <w:sz w:val="20"/>
          <w:szCs w:val="20"/>
          <w:lang w:val="en-US"/>
        </w:rPr>
        <w:tab/>
        <w:t>McInnes, L., Healy, J. &amp; Melville, J. UMAP: Uniform Manifold Approximation and Projection for Dimension Reduction. Preprint at https://doi.org/10.48550/arXiv.1802.03426 (2020).</w:t>
      </w:r>
    </w:p>
    <w:p w14:paraId="0B5295BD" w14:textId="77777777" w:rsidR="00AB3A76" w:rsidRPr="00AB3A76" w:rsidRDefault="00AB3A76" w:rsidP="00AB3A76">
      <w:pPr>
        <w:pStyle w:val="Bibliography"/>
        <w:rPr>
          <w:rFonts w:ascii="Helvetica" w:hAnsi="Helvetica" w:cs="Helvetica"/>
          <w:sz w:val="20"/>
          <w:szCs w:val="20"/>
        </w:rPr>
      </w:pPr>
      <w:r w:rsidRPr="00AB3A76">
        <w:rPr>
          <w:rFonts w:ascii="Helvetica" w:hAnsi="Helvetica" w:cs="Helvetica"/>
          <w:sz w:val="20"/>
          <w:szCs w:val="20"/>
          <w:lang w:val="en-US"/>
        </w:rPr>
        <w:t>5.</w:t>
      </w:r>
      <w:r w:rsidRPr="00AB3A76">
        <w:rPr>
          <w:rFonts w:ascii="Helvetica" w:hAnsi="Helvetica" w:cs="Helvetica"/>
          <w:sz w:val="20"/>
          <w:szCs w:val="20"/>
          <w:lang w:val="en-US"/>
        </w:rPr>
        <w:tab/>
        <w:t xml:space="preserve">Peres, F. F. Effect sizes for nonparametric tests. </w:t>
      </w:r>
      <w:r w:rsidRPr="00AB3A76">
        <w:rPr>
          <w:rFonts w:ascii="Helvetica" w:hAnsi="Helvetica" w:cs="Helvetica"/>
          <w:i/>
          <w:iCs/>
          <w:sz w:val="20"/>
          <w:szCs w:val="20"/>
        </w:rPr>
        <w:t>Biochem. Medica</w:t>
      </w:r>
      <w:r w:rsidRPr="00AB3A76">
        <w:rPr>
          <w:rFonts w:ascii="Helvetica" w:hAnsi="Helvetica" w:cs="Helvetica"/>
          <w:sz w:val="20"/>
          <w:szCs w:val="20"/>
        </w:rPr>
        <w:t xml:space="preserve"> </w:t>
      </w:r>
      <w:r w:rsidRPr="00AB3A76">
        <w:rPr>
          <w:rFonts w:ascii="Helvetica" w:hAnsi="Helvetica" w:cs="Helvetica"/>
          <w:b/>
          <w:bCs/>
          <w:sz w:val="20"/>
          <w:szCs w:val="20"/>
        </w:rPr>
        <w:t>36</w:t>
      </w:r>
      <w:r w:rsidRPr="00AB3A76">
        <w:rPr>
          <w:rFonts w:ascii="Helvetica" w:hAnsi="Helvetica" w:cs="Helvetica"/>
          <w:sz w:val="20"/>
          <w:szCs w:val="20"/>
        </w:rPr>
        <w:t>, 5–16 (2026).</w:t>
      </w:r>
    </w:p>
    <w:p w14:paraId="4503630B" w14:textId="151FEDA0" w:rsidR="00A01AA1" w:rsidRPr="00A01AA1" w:rsidRDefault="00A01AA1" w:rsidP="00394BAD">
      <w:pPr>
        <w:spacing w:after="120" w:line="480" w:lineRule="auto"/>
        <w:jc w:val="both"/>
        <w:rPr>
          <w:rFonts w:ascii="Helvetica" w:hAnsi="Helvetica" w:cs="Helvetica"/>
          <w:sz w:val="20"/>
          <w:szCs w:val="20"/>
          <w:lang w:val="en-GB"/>
        </w:rPr>
      </w:pPr>
      <w:r w:rsidRPr="00AB3A76">
        <w:rPr>
          <w:rFonts w:ascii="Helvetica" w:hAnsi="Helvetica" w:cs="Helvetica"/>
          <w:sz w:val="20"/>
          <w:szCs w:val="20"/>
          <w:lang w:val="en-GB"/>
        </w:rPr>
        <w:fldChar w:fldCharType="end"/>
      </w:r>
    </w:p>
    <w:sectPr w:rsidR="00A01AA1" w:rsidRPr="00A01AA1" w:rsidSect="00E40393">
      <w:pgSz w:w="11900" w:h="16840"/>
      <w:pgMar w:top="1440" w:right="1105" w:bottom="1440" w:left="115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2FFFB" w14:textId="77777777" w:rsidR="002409BC" w:rsidRDefault="002409BC" w:rsidP="00E82EAE">
      <w:r>
        <w:separator/>
      </w:r>
    </w:p>
  </w:endnote>
  <w:endnote w:type="continuationSeparator" w:id="0">
    <w:p w14:paraId="4DE3D0F3" w14:textId="77777777" w:rsidR="002409BC" w:rsidRDefault="002409BC" w:rsidP="00E82EAE">
      <w:r>
        <w:continuationSeparator/>
      </w:r>
    </w:p>
  </w:endnote>
  <w:endnote w:type="continuationNotice" w:id="1">
    <w:p w14:paraId="56017A1D" w14:textId="77777777" w:rsidR="002409BC" w:rsidRDefault="002409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9660909"/>
      <w:docPartObj>
        <w:docPartGallery w:val="Page Numbers (Bottom of Page)"/>
        <w:docPartUnique/>
      </w:docPartObj>
    </w:sdtPr>
    <w:sdtContent>
      <w:p w14:paraId="1E2C6D75" w14:textId="45A30C51" w:rsidR="00CF1BF2" w:rsidRDefault="00CF1B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51DA31" w14:textId="77777777" w:rsidR="00CF1BF2" w:rsidRDefault="00CF1BF2" w:rsidP="00CF1B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73901326"/>
      <w:docPartObj>
        <w:docPartGallery w:val="Page Numbers (Bottom of Page)"/>
        <w:docPartUnique/>
      </w:docPartObj>
    </w:sdtPr>
    <w:sdtEndPr>
      <w:rPr>
        <w:rStyle w:val="PageNumber"/>
        <w:rFonts w:ascii="Helvetica" w:hAnsi="Helvetica"/>
      </w:rPr>
    </w:sdtEndPr>
    <w:sdtContent>
      <w:p w14:paraId="055972CA" w14:textId="29F747A8" w:rsidR="00CF1BF2" w:rsidRPr="00E40393" w:rsidRDefault="00CF1BF2">
        <w:pPr>
          <w:pStyle w:val="Footer"/>
          <w:framePr w:wrap="none" w:vAnchor="text" w:hAnchor="margin" w:xAlign="right" w:y="1"/>
          <w:rPr>
            <w:rStyle w:val="PageNumber"/>
            <w:rFonts w:ascii="Helvetica" w:hAnsi="Helvetica"/>
          </w:rPr>
        </w:pPr>
        <w:r w:rsidRPr="00E40393">
          <w:rPr>
            <w:rStyle w:val="PageNumber"/>
            <w:rFonts w:ascii="Helvetica" w:hAnsi="Helvetica"/>
          </w:rPr>
          <w:fldChar w:fldCharType="begin"/>
        </w:r>
        <w:r w:rsidRPr="00E40393">
          <w:rPr>
            <w:rStyle w:val="PageNumber"/>
            <w:rFonts w:ascii="Helvetica" w:hAnsi="Helvetica"/>
          </w:rPr>
          <w:instrText xml:space="preserve"> PAGE </w:instrText>
        </w:r>
        <w:r w:rsidRPr="00E40393">
          <w:rPr>
            <w:rStyle w:val="PageNumber"/>
            <w:rFonts w:ascii="Helvetica" w:hAnsi="Helvetica"/>
          </w:rPr>
          <w:fldChar w:fldCharType="separate"/>
        </w:r>
        <w:r w:rsidRPr="00E40393">
          <w:rPr>
            <w:rStyle w:val="PageNumber"/>
            <w:rFonts w:ascii="Helvetica" w:hAnsi="Helvetica"/>
            <w:noProof/>
          </w:rPr>
          <w:t>1</w:t>
        </w:r>
        <w:r w:rsidRPr="00E40393">
          <w:rPr>
            <w:rStyle w:val="PageNumber"/>
            <w:rFonts w:ascii="Helvetica" w:hAnsi="Helvetica"/>
          </w:rPr>
          <w:fldChar w:fldCharType="end"/>
        </w:r>
      </w:p>
    </w:sdtContent>
  </w:sdt>
  <w:p w14:paraId="1EF0577F" w14:textId="77777777" w:rsidR="00CF1BF2" w:rsidRDefault="00CF1BF2" w:rsidP="00CF1BF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30AE3" w14:textId="77777777" w:rsidR="002409BC" w:rsidRDefault="002409BC" w:rsidP="00E82EAE">
      <w:r>
        <w:separator/>
      </w:r>
    </w:p>
  </w:footnote>
  <w:footnote w:type="continuationSeparator" w:id="0">
    <w:p w14:paraId="2B19DEB8" w14:textId="77777777" w:rsidR="002409BC" w:rsidRDefault="002409BC" w:rsidP="00E82EAE">
      <w:r>
        <w:continuationSeparator/>
      </w:r>
    </w:p>
  </w:footnote>
  <w:footnote w:type="continuationNotice" w:id="1">
    <w:p w14:paraId="0A22201D" w14:textId="77777777" w:rsidR="002409BC" w:rsidRDefault="002409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3C8FC0A"/>
    <w:lvl w:ilvl="0">
      <w:start w:val="1"/>
      <w:numFmt w:val="decimal"/>
      <w:pStyle w:val="ListNumber3"/>
      <w:lvlText w:val="%1."/>
      <w:lvlJc w:val="left"/>
      <w:pPr>
        <w:tabs>
          <w:tab w:val="num" w:pos="926"/>
        </w:tabs>
        <w:ind w:left="926" w:hanging="360"/>
      </w:pPr>
    </w:lvl>
  </w:abstractNum>
  <w:abstractNum w:abstractNumId="1" w15:restartNumberingAfterBreak="0">
    <w:nsid w:val="00000004"/>
    <w:multiLevelType w:val="multilevel"/>
    <w:tmpl w:val="00000004"/>
    <w:name w:val="WW8Num3"/>
    <w:lvl w:ilvl="0">
      <w:start w:val="1"/>
      <w:numFmt w:val="none"/>
      <w:suff w:val="nothing"/>
      <w:lvlText w:val=""/>
      <w:lvlJc w:val="left"/>
      <w:pPr>
        <w:tabs>
          <w:tab w:val="num" w:pos="0"/>
        </w:tabs>
        <w:ind w:left="0" w:firstLine="0"/>
      </w:pPr>
      <w:rPr>
        <w:rFonts w:ascii="Arial" w:hAnsi="Arial" w:cs="Arial"/>
        <w:sz w:val="20"/>
        <w:szCs w:val="20"/>
        <w:lang w:val="en-GB"/>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3F54192"/>
    <w:multiLevelType w:val="hybridMultilevel"/>
    <w:tmpl w:val="2B8C0440"/>
    <w:lvl w:ilvl="0" w:tplc="53F8AC1C">
      <w:start w:val="19"/>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9C69D9"/>
    <w:multiLevelType w:val="hybridMultilevel"/>
    <w:tmpl w:val="E4D8CFD0"/>
    <w:lvl w:ilvl="0" w:tplc="0410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2B5A5A63"/>
    <w:multiLevelType w:val="hybridMultilevel"/>
    <w:tmpl w:val="04C8BA20"/>
    <w:lvl w:ilvl="0" w:tplc="A904ABDE">
      <w:start w:val="1"/>
      <w:numFmt w:val="bullet"/>
      <w:lvlText w:val="-"/>
      <w:lvlJc w:val="left"/>
      <w:pPr>
        <w:ind w:left="720" w:hanging="360"/>
      </w:pPr>
      <w:rPr>
        <w:rFonts w:ascii="Arial" w:eastAsia="Times New Roman" w:hAnsi="Arial" w:cs="Arial" w:hint="default"/>
        <w:color w:val="2222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2E6C07"/>
    <w:multiLevelType w:val="hybridMultilevel"/>
    <w:tmpl w:val="30C08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3571CE"/>
    <w:multiLevelType w:val="hybridMultilevel"/>
    <w:tmpl w:val="4950D26A"/>
    <w:lvl w:ilvl="0" w:tplc="CB10C664">
      <w:start w:val="11"/>
      <w:numFmt w:val="bullet"/>
      <w:lvlText w:val="-"/>
      <w:lvlJc w:val="left"/>
      <w:pPr>
        <w:ind w:left="360" w:hanging="360"/>
      </w:pPr>
      <w:rPr>
        <w:rFonts w:ascii="Times New Roman" w:eastAsiaTheme="minorEastAsia" w:hAnsi="Times New Roman" w:cs="Times New Roman" w:hint="default"/>
      </w:rPr>
    </w:lvl>
    <w:lvl w:ilvl="1" w:tplc="0809000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6127601D"/>
    <w:multiLevelType w:val="hybridMultilevel"/>
    <w:tmpl w:val="5DFAA37E"/>
    <w:lvl w:ilvl="0" w:tplc="E5521FF4">
      <w:start w:val="19"/>
      <w:numFmt w:val="bullet"/>
      <w:lvlText w:val="-"/>
      <w:lvlJc w:val="left"/>
      <w:pPr>
        <w:ind w:left="720" w:hanging="360"/>
      </w:pPr>
      <w:rPr>
        <w:rFonts w:ascii="Arial" w:eastAsia="Times New Roman" w:hAnsi="Arial" w:cs="Arial" w:hint="default"/>
        <w:b w:val="0"/>
        <w:color w:val="222222"/>
        <w:sz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BF5EC3"/>
    <w:multiLevelType w:val="multilevel"/>
    <w:tmpl w:val="405C9B2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C610740"/>
    <w:multiLevelType w:val="hybridMultilevel"/>
    <w:tmpl w:val="84ECBBE0"/>
    <w:lvl w:ilvl="0" w:tplc="B32C4BA0">
      <w:start w:val="35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3111251"/>
    <w:multiLevelType w:val="hybridMultilevel"/>
    <w:tmpl w:val="A45E597C"/>
    <w:lvl w:ilvl="0" w:tplc="A904ABDE">
      <w:start w:val="1"/>
      <w:numFmt w:val="bullet"/>
      <w:lvlText w:val="-"/>
      <w:lvlJc w:val="left"/>
      <w:pPr>
        <w:ind w:left="720" w:hanging="360"/>
      </w:pPr>
      <w:rPr>
        <w:rFonts w:ascii="Arial" w:eastAsia="Times New Roman" w:hAnsi="Arial" w:cs="Arial" w:hint="default"/>
        <w:color w:val="2222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332D26"/>
    <w:multiLevelType w:val="multilevel"/>
    <w:tmpl w:val="7C7CFEAE"/>
    <w:lvl w:ilvl="0">
      <w:start w:val="2"/>
      <w:numFmt w:val="decimal"/>
      <w:lvlText w:val="%1."/>
      <w:lvlJc w:val="left"/>
      <w:pPr>
        <w:ind w:left="400" w:hanging="40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num w:numId="1" w16cid:durableId="1268192729">
    <w:abstractNumId w:val="11"/>
  </w:num>
  <w:num w:numId="2" w16cid:durableId="463429922">
    <w:abstractNumId w:val="3"/>
  </w:num>
  <w:num w:numId="3" w16cid:durableId="523833841">
    <w:abstractNumId w:val="8"/>
  </w:num>
  <w:num w:numId="4" w16cid:durableId="2070303305">
    <w:abstractNumId w:val="4"/>
  </w:num>
  <w:num w:numId="5" w16cid:durableId="927806909">
    <w:abstractNumId w:val="10"/>
  </w:num>
  <w:num w:numId="6" w16cid:durableId="1297445129">
    <w:abstractNumId w:val="1"/>
  </w:num>
  <w:num w:numId="7" w16cid:durableId="1710446724">
    <w:abstractNumId w:val="2"/>
  </w:num>
  <w:num w:numId="8" w16cid:durableId="126050949">
    <w:abstractNumId w:val="7"/>
  </w:num>
  <w:num w:numId="9" w16cid:durableId="1079985619">
    <w:abstractNumId w:val="9"/>
  </w:num>
  <w:num w:numId="10" w16cid:durableId="149257035">
    <w:abstractNumId w:val="5"/>
  </w:num>
  <w:num w:numId="11" w16cid:durableId="83380613">
    <w:abstractNumId w:val="0"/>
  </w:num>
  <w:num w:numId="12" w16cid:durableId="10347740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A62"/>
    <w:rsid w:val="00001169"/>
    <w:rsid w:val="00001D3E"/>
    <w:rsid w:val="00001DDE"/>
    <w:rsid w:val="00003ABB"/>
    <w:rsid w:val="00003F07"/>
    <w:rsid w:val="00004A31"/>
    <w:rsid w:val="00005044"/>
    <w:rsid w:val="0000667A"/>
    <w:rsid w:val="00006C0A"/>
    <w:rsid w:val="00010D94"/>
    <w:rsid w:val="00011C93"/>
    <w:rsid w:val="00012131"/>
    <w:rsid w:val="00012871"/>
    <w:rsid w:val="0001433C"/>
    <w:rsid w:val="000148AA"/>
    <w:rsid w:val="000155A4"/>
    <w:rsid w:val="00015846"/>
    <w:rsid w:val="000158BF"/>
    <w:rsid w:val="0001618A"/>
    <w:rsid w:val="000173C2"/>
    <w:rsid w:val="00017714"/>
    <w:rsid w:val="0002008F"/>
    <w:rsid w:val="0002045E"/>
    <w:rsid w:val="00022EBF"/>
    <w:rsid w:val="000235C0"/>
    <w:rsid w:val="000244D7"/>
    <w:rsid w:val="000254A0"/>
    <w:rsid w:val="00026453"/>
    <w:rsid w:val="00027B3D"/>
    <w:rsid w:val="00030516"/>
    <w:rsid w:val="00030B41"/>
    <w:rsid w:val="0003123E"/>
    <w:rsid w:val="000329F2"/>
    <w:rsid w:val="00033338"/>
    <w:rsid w:val="00033805"/>
    <w:rsid w:val="000354D1"/>
    <w:rsid w:val="00035D72"/>
    <w:rsid w:val="00037CEB"/>
    <w:rsid w:val="0004141F"/>
    <w:rsid w:val="00041F0D"/>
    <w:rsid w:val="00042EAB"/>
    <w:rsid w:val="000442D2"/>
    <w:rsid w:val="0004554E"/>
    <w:rsid w:val="00045EDC"/>
    <w:rsid w:val="000466A9"/>
    <w:rsid w:val="00046881"/>
    <w:rsid w:val="000468EC"/>
    <w:rsid w:val="00047DC9"/>
    <w:rsid w:val="00047E23"/>
    <w:rsid w:val="00047EA7"/>
    <w:rsid w:val="0005010B"/>
    <w:rsid w:val="00053351"/>
    <w:rsid w:val="000536C4"/>
    <w:rsid w:val="000550AD"/>
    <w:rsid w:val="00056228"/>
    <w:rsid w:val="00056397"/>
    <w:rsid w:val="000563AC"/>
    <w:rsid w:val="00056B27"/>
    <w:rsid w:val="00056BCA"/>
    <w:rsid w:val="00057037"/>
    <w:rsid w:val="000570E6"/>
    <w:rsid w:val="0005748E"/>
    <w:rsid w:val="00057825"/>
    <w:rsid w:val="00057DA9"/>
    <w:rsid w:val="00060994"/>
    <w:rsid w:val="0006101B"/>
    <w:rsid w:val="000621DD"/>
    <w:rsid w:val="00063CE0"/>
    <w:rsid w:val="0006446F"/>
    <w:rsid w:val="0006743D"/>
    <w:rsid w:val="00067D58"/>
    <w:rsid w:val="00070664"/>
    <w:rsid w:val="00070CF8"/>
    <w:rsid w:val="00071DAC"/>
    <w:rsid w:val="0007234B"/>
    <w:rsid w:val="00072398"/>
    <w:rsid w:val="00072F8C"/>
    <w:rsid w:val="00073876"/>
    <w:rsid w:val="00073996"/>
    <w:rsid w:val="00074A8C"/>
    <w:rsid w:val="0007570B"/>
    <w:rsid w:val="00075ACF"/>
    <w:rsid w:val="00076154"/>
    <w:rsid w:val="000774C7"/>
    <w:rsid w:val="000775E1"/>
    <w:rsid w:val="000801CE"/>
    <w:rsid w:val="00081314"/>
    <w:rsid w:val="00082708"/>
    <w:rsid w:val="00084C8A"/>
    <w:rsid w:val="00090B0F"/>
    <w:rsid w:val="000911ED"/>
    <w:rsid w:val="00092D0E"/>
    <w:rsid w:val="00092D11"/>
    <w:rsid w:val="000954C8"/>
    <w:rsid w:val="000965C4"/>
    <w:rsid w:val="000978F2"/>
    <w:rsid w:val="000A03E8"/>
    <w:rsid w:val="000A112C"/>
    <w:rsid w:val="000A190D"/>
    <w:rsid w:val="000A247A"/>
    <w:rsid w:val="000A272E"/>
    <w:rsid w:val="000A37DC"/>
    <w:rsid w:val="000A37FF"/>
    <w:rsid w:val="000A3FC2"/>
    <w:rsid w:val="000A447B"/>
    <w:rsid w:val="000A5F7C"/>
    <w:rsid w:val="000B040B"/>
    <w:rsid w:val="000B095A"/>
    <w:rsid w:val="000B0B42"/>
    <w:rsid w:val="000B0DF8"/>
    <w:rsid w:val="000B1455"/>
    <w:rsid w:val="000B1C85"/>
    <w:rsid w:val="000B2FAF"/>
    <w:rsid w:val="000B34F9"/>
    <w:rsid w:val="000B363A"/>
    <w:rsid w:val="000B3C1C"/>
    <w:rsid w:val="000B416C"/>
    <w:rsid w:val="000B5BFF"/>
    <w:rsid w:val="000B673E"/>
    <w:rsid w:val="000B71A1"/>
    <w:rsid w:val="000B765C"/>
    <w:rsid w:val="000C0A1E"/>
    <w:rsid w:val="000C0D21"/>
    <w:rsid w:val="000C2527"/>
    <w:rsid w:val="000C54AA"/>
    <w:rsid w:val="000C55E2"/>
    <w:rsid w:val="000C601C"/>
    <w:rsid w:val="000C6389"/>
    <w:rsid w:val="000C6520"/>
    <w:rsid w:val="000C7FC1"/>
    <w:rsid w:val="000D0148"/>
    <w:rsid w:val="000D3B3D"/>
    <w:rsid w:val="000D5729"/>
    <w:rsid w:val="000D5A48"/>
    <w:rsid w:val="000D5BA5"/>
    <w:rsid w:val="000D5ED2"/>
    <w:rsid w:val="000E1A26"/>
    <w:rsid w:val="000E1AFC"/>
    <w:rsid w:val="000E1B80"/>
    <w:rsid w:val="000E2630"/>
    <w:rsid w:val="000E3DAF"/>
    <w:rsid w:val="000E3FF9"/>
    <w:rsid w:val="000E4FA3"/>
    <w:rsid w:val="000E51AB"/>
    <w:rsid w:val="000E659A"/>
    <w:rsid w:val="000F0EDA"/>
    <w:rsid w:val="000F1341"/>
    <w:rsid w:val="000F2A8E"/>
    <w:rsid w:val="000F2C8E"/>
    <w:rsid w:val="000F3055"/>
    <w:rsid w:val="000F3DDB"/>
    <w:rsid w:val="000F5124"/>
    <w:rsid w:val="000F5EBB"/>
    <w:rsid w:val="000F6EE6"/>
    <w:rsid w:val="000F7C9B"/>
    <w:rsid w:val="000F7DB5"/>
    <w:rsid w:val="001002C1"/>
    <w:rsid w:val="00100430"/>
    <w:rsid w:val="00101FCD"/>
    <w:rsid w:val="001038B7"/>
    <w:rsid w:val="001038E1"/>
    <w:rsid w:val="00103FE1"/>
    <w:rsid w:val="001043C2"/>
    <w:rsid w:val="001046B4"/>
    <w:rsid w:val="00104DD0"/>
    <w:rsid w:val="0010618C"/>
    <w:rsid w:val="00107109"/>
    <w:rsid w:val="00107A18"/>
    <w:rsid w:val="00110466"/>
    <w:rsid w:val="001111C2"/>
    <w:rsid w:val="00112A6A"/>
    <w:rsid w:val="001167A3"/>
    <w:rsid w:val="00116923"/>
    <w:rsid w:val="00116A05"/>
    <w:rsid w:val="00117509"/>
    <w:rsid w:val="00117A33"/>
    <w:rsid w:val="00117F98"/>
    <w:rsid w:val="001214A4"/>
    <w:rsid w:val="00122D12"/>
    <w:rsid w:val="00123089"/>
    <w:rsid w:val="00123493"/>
    <w:rsid w:val="0012577F"/>
    <w:rsid w:val="00125D78"/>
    <w:rsid w:val="001262AD"/>
    <w:rsid w:val="0012631B"/>
    <w:rsid w:val="0012663E"/>
    <w:rsid w:val="00127B0F"/>
    <w:rsid w:val="001304B8"/>
    <w:rsid w:val="00131809"/>
    <w:rsid w:val="00131D7D"/>
    <w:rsid w:val="00131FAF"/>
    <w:rsid w:val="001320C8"/>
    <w:rsid w:val="001321BE"/>
    <w:rsid w:val="001323B5"/>
    <w:rsid w:val="00133AF2"/>
    <w:rsid w:val="00135A36"/>
    <w:rsid w:val="00135BA7"/>
    <w:rsid w:val="00136BA9"/>
    <w:rsid w:val="001373A1"/>
    <w:rsid w:val="00137A25"/>
    <w:rsid w:val="00137C24"/>
    <w:rsid w:val="00141DA6"/>
    <w:rsid w:val="0014309E"/>
    <w:rsid w:val="00143875"/>
    <w:rsid w:val="00144525"/>
    <w:rsid w:val="00150D75"/>
    <w:rsid w:val="0015220B"/>
    <w:rsid w:val="001541B1"/>
    <w:rsid w:val="001544E5"/>
    <w:rsid w:val="00154B91"/>
    <w:rsid w:val="00157CB9"/>
    <w:rsid w:val="00157D0D"/>
    <w:rsid w:val="00160648"/>
    <w:rsid w:val="00160B4A"/>
    <w:rsid w:val="00160BE3"/>
    <w:rsid w:val="001616C4"/>
    <w:rsid w:val="001617B3"/>
    <w:rsid w:val="00163183"/>
    <w:rsid w:val="0016347E"/>
    <w:rsid w:val="001651F7"/>
    <w:rsid w:val="001672D7"/>
    <w:rsid w:val="001701D4"/>
    <w:rsid w:val="00170D4C"/>
    <w:rsid w:val="0017135F"/>
    <w:rsid w:val="00171DC9"/>
    <w:rsid w:val="0017383F"/>
    <w:rsid w:val="00176154"/>
    <w:rsid w:val="00176FA2"/>
    <w:rsid w:val="00181516"/>
    <w:rsid w:val="001827A1"/>
    <w:rsid w:val="00182D61"/>
    <w:rsid w:val="001836D3"/>
    <w:rsid w:val="001838BB"/>
    <w:rsid w:val="00183B86"/>
    <w:rsid w:val="00184D35"/>
    <w:rsid w:val="00185002"/>
    <w:rsid w:val="00186D79"/>
    <w:rsid w:val="00187038"/>
    <w:rsid w:val="00187681"/>
    <w:rsid w:val="00190609"/>
    <w:rsid w:val="00190A54"/>
    <w:rsid w:val="00190F14"/>
    <w:rsid w:val="0019129E"/>
    <w:rsid w:val="00191B77"/>
    <w:rsid w:val="0019224B"/>
    <w:rsid w:val="00193A27"/>
    <w:rsid w:val="0019459E"/>
    <w:rsid w:val="001952C8"/>
    <w:rsid w:val="001A03E9"/>
    <w:rsid w:val="001A0D55"/>
    <w:rsid w:val="001A16F3"/>
    <w:rsid w:val="001A1E34"/>
    <w:rsid w:val="001A30BA"/>
    <w:rsid w:val="001A3362"/>
    <w:rsid w:val="001A49DC"/>
    <w:rsid w:val="001A4D21"/>
    <w:rsid w:val="001A59C5"/>
    <w:rsid w:val="001A5D1B"/>
    <w:rsid w:val="001A5E35"/>
    <w:rsid w:val="001A5E5E"/>
    <w:rsid w:val="001A64FA"/>
    <w:rsid w:val="001A783E"/>
    <w:rsid w:val="001B07DF"/>
    <w:rsid w:val="001B0C11"/>
    <w:rsid w:val="001B1142"/>
    <w:rsid w:val="001B14C1"/>
    <w:rsid w:val="001B367D"/>
    <w:rsid w:val="001B68EF"/>
    <w:rsid w:val="001B73BD"/>
    <w:rsid w:val="001B74D0"/>
    <w:rsid w:val="001B751F"/>
    <w:rsid w:val="001C13AB"/>
    <w:rsid w:val="001C29A3"/>
    <w:rsid w:val="001C2BAD"/>
    <w:rsid w:val="001C2CE6"/>
    <w:rsid w:val="001C2FB6"/>
    <w:rsid w:val="001C33F6"/>
    <w:rsid w:val="001C3A94"/>
    <w:rsid w:val="001C3DAD"/>
    <w:rsid w:val="001C7C61"/>
    <w:rsid w:val="001D70E9"/>
    <w:rsid w:val="001D7319"/>
    <w:rsid w:val="001E0938"/>
    <w:rsid w:val="001E1DAE"/>
    <w:rsid w:val="001E3862"/>
    <w:rsid w:val="001E43AB"/>
    <w:rsid w:val="001E4D4A"/>
    <w:rsid w:val="001E50C8"/>
    <w:rsid w:val="001E66D1"/>
    <w:rsid w:val="001E6742"/>
    <w:rsid w:val="001E6759"/>
    <w:rsid w:val="001F0BBE"/>
    <w:rsid w:val="001F0D3C"/>
    <w:rsid w:val="001F0ED1"/>
    <w:rsid w:val="001F3242"/>
    <w:rsid w:val="001F3434"/>
    <w:rsid w:val="001F345D"/>
    <w:rsid w:val="001F3DEA"/>
    <w:rsid w:val="001F671F"/>
    <w:rsid w:val="001F704F"/>
    <w:rsid w:val="001F73FB"/>
    <w:rsid w:val="0020347D"/>
    <w:rsid w:val="002053C2"/>
    <w:rsid w:val="0020560D"/>
    <w:rsid w:val="0020564E"/>
    <w:rsid w:val="002067BF"/>
    <w:rsid w:val="00206C95"/>
    <w:rsid w:val="00207491"/>
    <w:rsid w:val="002076C5"/>
    <w:rsid w:val="00207AB4"/>
    <w:rsid w:val="0021248C"/>
    <w:rsid w:val="002142BB"/>
    <w:rsid w:val="00215EB3"/>
    <w:rsid w:val="00216225"/>
    <w:rsid w:val="00216F64"/>
    <w:rsid w:val="00217F40"/>
    <w:rsid w:val="0022080E"/>
    <w:rsid w:val="00220882"/>
    <w:rsid w:val="00222AE8"/>
    <w:rsid w:val="00222F22"/>
    <w:rsid w:val="002233F1"/>
    <w:rsid w:val="0022348A"/>
    <w:rsid w:val="002267E0"/>
    <w:rsid w:val="00227751"/>
    <w:rsid w:val="00230C6E"/>
    <w:rsid w:val="00231E55"/>
    <w:rsid w:val="002336E3"/>
    <w:rsid w:val="00234D6D"/>
    <w:rsid w:val="002350AE"/>
    <w:rsid w:val="0023727D"/>
    <w:rsid w:val="002409BC"/>
    <w:rsid w:val="00241601"/>
    <w:rsid w:val="00241A1C"/>
    <w:rsid w:val="0024344E"/>
    <w:rsid w:val="002440EA"/>
    <w:rsid w:val="00244ABB"/>
    <w:rsid w:val="002452E7"/>
    <w:rsid w:val="00245540"/>
    <w:rsid w:val="00246096"/>
    <w:rsid w:val="00246939"/>
    <w:rsid w:val="0025099C"/>
    <w:rsid w:val="00250E0C"/>
    <w:rsid w:val="002534EA"/>
    <w:rsid w:val="00253AE3"/>
    <w:rsid w:val="0025489D"/>
    <w:rsid w:val="00254B48"/>
    <w:rsid w:val="00255B57"/>
    <w:rsid w:val="00255D28"/>
    <w:rsid w:val="002600AF"/>
    <w:rsid w:val="00262548"/>
    <w:rsid w:val="002635D6"/>
    <w:rsid w:val="00263BF0"/>
    <w:rsid w:val="00264D04"/>
    <w:rsid w:val="00265480"/>
    <w:rsid w:val="0026639A"/>
    <w:rsid w:val="0026648C"/>
    <w:rsid w:val="00266EA1"/>
    <w:rsid w:val="002703DF"/>
    <w:rsid w:val="00271CBC"/>
    <w:rsid w:val="00271E99"/>
    <w:rsid w:val="00272ADD"/>
    <w:rsid w:val="00273089"/>
    <w:rsid w:val="0027413F"/>
    <w:rsid w:val="002744CA"/>
    <w:rsid w:val="00275AB2"/>
    <w:rsid w:val="002770D9"/>
    <w:rsid w:val="002776FE"/>
    <w:rsid w:val="002812A5"/>
    <w:rsid w:val="0028208F"/>
    <w:rsid w:val="00284C56"/>
    <w:rsid w:val="00286F58"/>
    <w:rsid w:val="0028714A"/>
    <w:rsid w:val="002876DB"/>
    <w:rsid w:val="00287BDE"/>
    <w:rsid w:val="00287C41"/>
    <w:rsid w:val="00292F6B"/>
    <w:rsid w:val="0029558D"/>
    <w:rsid w:val="00296857"/>
    <w:rsid w:val="002973F8"/>
    <w:rsid w:val="00297AE8"/>
    <w:rsid w:val="002A05D8"/>
    <w:rsid w:val="002A0747"/>
    <w:rsid w:val="002A09CD"/>
    <w:rsid w:val="002A125B"/>
    <w:rsid w:val="002A12F4"/>
    <w:rsid w:val="002A3240"/>
    <w:rsid w:val="002A3FCC"/>
    <w:rsid w:val="002A59D9"/>
    <w:rsid w:val="002A61C4"/>
    <w:rsid w:val="002A738A"/>
    <w:rsid w:val="002A7A0E"/>
    <w:rsid w:val="002B0A39"/>
    <w:rsid w:val="002B0AF6"/>
    <w:rsid w:val="002B246B"/>
    <w:rsid w:val="002B35A0"/>
    <w:rsid w:val="002B4F92"/>
    <w:rsid w:val="002B6215"/>
    <w:rsid w:val="002B69C6"/>
    <w:rsid w:val="002B730F"/>
    <w:rsid w:val="002B774B"/>
    <w:rsid w:val="002B7C61"/>
    <w:rsid w:val="002B7DE5"/>
    <w:rsid w:val="002C001C"/>
    <w:rsid w:val="002C1172"/>
    <w:rsid w:val="002C1301"/>
    <w:rsid w:val="002C1F2F"/>
    <w:rsid w:val="002C29B8"/>
    <w:rsid w:val="002C2F34"/>
    <w:rsid w:val="002C3B3F"/>
    <w:rsid w:val="002C4598"/>
    <w:rsid w:val="002C4EF0"/>
    <w:rsid w:val="002C5C46"/>
    <w:rsid w:val="002C7053"/>
    <w:rsid w:val="002D021E"/>
    <w:rsid w:val="002D08EA"/>
    <w:rsid w:val="002D1871"/>
    <w:rsid w:val="002D2101"/>
    <w:rsid w:val="002D37A1"/>
    <w:rsid w:val="002D50AA"/>
    <w:rsid w:val="002D5614"/>
    <w:rsid w:val="002D7F3A"/>
    <w:rsid w:val="002E077B"/>
    <w:rsid w:val="002E14CB"/>
    <w:rsid w:val="002E3DB1"/>
    <w:rsid w:val="002E54A2"/>
    <w:rsid w:val="002E6006"/>
    <w:rsid w:val="002E698F"/>
    <w:rsid w:val="002E6C16"/>
    <w:rsid w:val="002E6E48"/>
    <w:rsid w:val="002E7A20"/>
    <w:rsid w:val="002F324D"/>
    <w:rsid w:val="002F34C2"/>
    <w:rsid w:val="002F39EB"/>
    <w:rsid w:val="002F426F"/>
    <w:rsid w:val="002F4557"/>
    <w:rsid w:val="002F4B42"/>
    <w:rsid w:val="002F523C"/>
    <w:rsid w:val="002F5EBA"/>
    <w:rsid w:val="002F63BA"/>
    <w:rsid w:val="002F7A5D"/>
    <w:rsid w:val="0030017B"/>
    <w:rsid w:val="00301F45"/>
    <w:rsid w:val="0030245E"/>
    <w:rsid w:val="00302502"/>
    <w:rsid w:val="00305E7D"/>
    <w:rsid w:val="00306740"/>
    <w:rsid w:val="00307051"/>
    <w:rsid w:val="00310095"/>
    <w:rsid w:val="00310937"/>
    <w:rsid w:val="00311DEF"/>
    <w:rsid w:val="003121F2"/>
    <w:rsid w:val="003122C5"/>
    <w:rsid w:val="00313DB5"/>
    <w:rsid w:val="00314ABA"/>
    <w:rsid w:val="00314E8F"/>
    <w:rsid w:val="003167BE"/>
    <w:rsid w:val="0031709C"/>
    <w:rsid w:val="00317BC2"/>
    <w:rsid w:val="00320605"/>
    <w:rsid w:val="00322B86"/>
    <w:rsid w:val="00323C83"/>
    <w:rsid w:val="00323E79"/>
    <w:rsid w:val="00327002"/>
    <w:rsid w:val="00330577"/>
    <w:rsid w:val="00333946"/>
    <w:rsid w:val="00333E2F"/>
    <w:rsid w:val="00333F5F"/>
    <w:rsid w:val="00334002"/>
    <w:rsid w:val="003343BE"/>
    <w:rsid w:val="0033444D"/>
    <w:rsid w:val="00334E43"/>
    <w:rsid w:val="0033546E"/>
    <w:rsid w:val="0033714F"/>
    <w:rsid w:val="003408B6"/>
    <w:rsid w:val="003408E9"/>
    <w:rsid w:val="00340B63"/>
    <w:rsid w:val="003419C1"/>
    <w:rsid w:val="00341F98"/>
    <w:rsid w:val="00342E24"/>
    <w:rsid w:val="00343E1A"/>
    <w:rsid w:val="0034407D"/>
    <w:rsid w:val="003440AB"/>
    <w:rsid w:val="00344AE5"/>
    <w:rsid w:val="00344CBD"/>
    <w:rsid w:val="00346283"/>
    <w:rsid w:val="00346BF5"/>
    <w:rsid w:val="00350CA9"/>
    <w:rsid w:val="00351363"/>
    <w:rsid w:val="003516B6"/>
    <w:rsid w:val="00351BC2"/>
    <w:rsid w:val="00352533"/>
    <w:rsid w:val="00352A15"/>
    <w:rsid w:val="00353877"/>
    <w:rsid w:val="003547C5"/>
    <w:rsid w:val="00355112"/>
    <w:rsid w:val="00356273"/>
    <w:rsid w:val="003569B0"/>
    <w:rsid w:val="0036197A"/>
    <w:rsid w:val="0036326F"/>
    <w:rsid w:val="00366424"/>
    <w:rsid w:val="00366795"/>
    <w:rsid w:val="00367230"/>
    <w:rsid w:val="00372930"/>
    <w:rsid w:val="0037308C"/>
    <w:rsid w:val="00373127"/>
    <w:rsid w:val="0037381E"/>
    <w:rsid w:val="00373B73"/>
    <w:rsid w:val="003766BD"/>
    <w:rsid w:val="00381613"/>
    <w:rsid w:val="0038375A"/>
    <w:rsid w:val="00383EDC"/>
    <w:rsid w:val="0038403C"/>
    <w:rsid w:val="00384449"/>
    <w:rsid w:val="00385E4B"/>
    <w:rsid w:val="003864BA"/>
    <w:rsid w:val="00392C14"/>
    <w:rsid w:val="00394BAD"/>
    <w:rsid w:val="00395297"/>
    <w:rsid w:val="0039543D"/>
    <w:rsid w:val="0039570B"/>
    <w:rsid w:val="00395D00"/>
    <w:rsid w:val="003974A8"/>
    <w:rsid w:val="003A151B"/>
    <w:rsid w:val="003A25E1"/>
    <w:rsid w:val="003A40D5"/>
    <w:rsid w:val="003A5868"/>
    <w:rsid w:val="003A6CD0"/>
    <w:rsid w:val="003A6D64"/>
    <w:rsid w:val="003A74B0"/>
    <w:rsid w:val="003B1E36"/>
    <w:rsid w:val="003B1E75"/>
    <w:rsid w:val="003B23D3"/>
    <w:rsid w:val="003B2746"/>
    <w:rsid w:val="003B2BE2"/>
    <w:rsid w:val="003B51BE"/>
    <w:rsid w:val="003B613E"/>
    <w:rsid w:val="003C07E0"/>
    <w:rsid w:val="003C1461"/>
    <w:rsid w:val="003C15B9"/>
    <w:rsid w:val="003C6566"/>
    <w:rsid w:val="003C73EC"/>
    <w:rsid w:val="003C7D86"/>
    <w:rsid w:val="003D091A"/>
    <w:rsid w:val="003D15DE"/>
    <w:rsid w:val="003D16C1"/>
    <w:rsid w:val="003D2001"/>
    <w:rsid w:val="003D2617"/>
    <w:rsid w:val="003D53CE"/>
    <w:rsid w:val="003D5F0A"/>
    <w:rsid w:val="003D63B6"/>
    <w:rsid w:val="003D6FF8"/>
    <w:rsid w:val="003D71B9"/>
    <w:rsid w:val="003E026F"/>
    <w:rsid w:val="003E132F"/>
    <w:rsid w:val="003E13DA"/>
    <w:rsid w:val="003E206D"/>
    <w:rsid w:val="003E3328"/>
    <w:rsid w:val="003E3525"/>
    <w:rsid w:val="003E364D"/>
    <w:rsid w:val="003E5D15"/>
    <w:rsid w:val="003F049F"/>
    <w:rsid w:val="003F04B3"/>
    <w:rsid w:val="003F0D82"/>
    <w:rsid w:val="003F1DED"/>
    <w:rsid w:val="003F2E56"/>
    <w:rsid w:val="003F31A5"/>
    <w:rsid w:val="003F356E"/>
    <w:rsid w:val="003F35D0"/>
    <w:rsid w:val="003F3CB2"/>
    <w:rsid w:val="003F4235"/>
    <w:rsid w:val="003F52AD"/>
    <w:rsid w:val="003F5440"/>
    <w:rsid w:val="003F60D5"/>
    <w:rsid w:val="003F6249"/>
    <w:rsid w:val="003F6660"/>
    <w:rsid w:val="004022D0"/>
    <w:rsid w:val="0040392B"/>
    <w:rsid w:val="00405B09"/>
    <w:rsid w:val="00410ADA"/>
    <w:rsid w:val="00410BAC"/>
    <w:rsid w:val="00411A57"/>
    <w:rsid w:val="00411B0A"/>
    <w:rsid w:val="00411F47"/>
    <w:rsid w:val="0041370A"/>
    <w:rsid w:val="0041459A"/>
    <w:rsid w:val="0041512B"/>
    <w:rsid w:val="00415CDC"/>
    <w:rsid w:val="00417069"/>
    <w:rsid w:val="004176E7"/>
    <w:rsid w:val="004205F8"/>
    <w:rsid w:val="00420D0C"/>
    <w:rsid w:val="00420FAE"/>
    <w:rsid w:val="004212FB"/>
    <w:rsid w:val="004219C2"/>
    <w:rsid w:val="00421DB6"/>
    <w:rsid w:val="00421F7C"/>
    <w:rsid w:val="004230C4"/>
    <w:rsid w:val="00425291"/>
    <w:rsid w:val="00425645"/>
    <w:rsid w:val="0042583C"/>
    <w:rsid w:val="00425DC7"/>
    <w:rsid w:val="00430140"/>
    <w:rsid w:val="00430295"/>
    <w:rsid w:val="004305D5"/>
    <w:rsid w:val="0043086D"/>
    <w:rsid w:val="0043143C"/>
    <w:rsid w:val="00431C65"/>
    <w:rsid w:val="00432FBD"/>
    <w:rsid w:val="00433AF8"/>
    <w:rsid w:val="00433D5B"/>
    <w:rsid w:val="0043430F"/>
    <w:rsid w:val="00434D05"/>
    <w:rsid w:val="00434E4C"/>
    <w:rsid w:val="00434F1F"/>
    <w:rsid w:val="004361E5"/>
    <w:rsid w:val="00436E3E"/>
    <w:rsid w:val="004409D8"/>
    <w:rsid w:val="00441993"/>
    <w:rsid w:val="00441EE5"/>
    <w:rsid w:val="00444D28"/>
    <w:rsid w:val="00446359"/>
    <w:rsid w:val="00450FE2"/>
    <w:rsid w:val="0045477A"/>
    <w:rsid w:val="00454E8B"/>
    <w:rsid w:val="0045535E"/>
    <w:rsid w:val="0045604C"/>
    <w:rsid w:val="004560B5"/>
    <w:rsid w:val="00456664"/>
    <w:rsid w:val="00460A83"/>
    <w:rsid w:val="00460BD4"/>
    <w:rsid w:val="004611A7"/>
    <w:rsid w:val="00461B02"/>
    <w:rsid w:val="00463D1E"/>
    <w:rsid w:val="0046410B"/>
    <w:rsid w:val="004648C7"/>
    <w:rsid w:val="00464BB1"/>
    <w:rsid w:val="00464F7C"/>
    <w:rsid w:val="00464FC9"/>
    <w:rsid w:val="00465FDC"/>
    <w:rsid w:val="0047016B"/>
    <w:rsid w:val="0047028B"/>
    <w:rsid w:val="00472648"/>
    <w:rsid w:val="004742C2"/>
    <w:rsid w:val="004748E8"/>
    <w:rsid w:val="004765F4"/>
    <w:rsid w:val="004773F9"/>
    <w:rsid w:val="004775F1"/>
    <w:rsid w:val="00480AC9"/>
    <w:rsid w:val="00482724"/>
    <w:rsid w:val="0048287A"/>
    <w:rsid w:val="0048323E"/>
    <w:rsid w:val="004850A0"/>
    <w:rsid w:val="0048541B"/>
    <w:rsid w:val="0048655B"/>
    <w:rsid w:val="00486E9C"/>
    <w:rsid w:val="00487808"/>
    <w:rsid w:val="00491006"/>
    <w:rsid w:val="00492037"/>
    <w:rsid w:val="00492046"/>
    <w:rsid w:val="00493FCB"/>
    <w:rsid w:val="00494269"/>
    <w:rsid w:val="00495F12"/>
    <w:rsid w:val="00497271"/>
    <w:rsid w:val="004A0EA6"/>
    <w:rsid w:val="004A209B"/>
    <w:rsid w:val="004A3A10"/>
    <w:rsid w:val="004A43A0"/>
    <w:rsid w:val="004A475C"/>
    <w:rsid w:val="004A6DF4"/>
    <w:rsid w:val="004A7B6D"/>
    <w:rsid w:val="004B1F38"/>
    <w:rsid w:val="004B22FD"/>
    <w:rsid w:val="004B2646"/>
    <w:rsid w:val="004B58B3"/>
    <w:rsid w:val="004B698D"/>
    <w:rsid w:val="004B6B60"/>
    <w:rsid w:val="004B6D70"/>
    <w:rsid w:val="004C0185"/>
    <w:rsid w:val="004C3936"/>
    <w:rsid w:val="004C4699"/>
    <w:rsid w:val="004C68D9"/>
    <w:rsid w:val="004C6AF8"/>
    <w:rsid w:val="004C767B"/>
    <w:rsid w:val="004D0B67"/>
    <w:rsid w:val="004D0D63"/>
    <w:rsid w:val="004D0FD5"/>
    <w:rsid w:val="004D2A6B"/>
    <w:rsid w:val="004D2B39"/>
    <w:rsid w:val="004D318F"/>
    <w:rsid w:val="004D4037"/>
    <w:rsid w:val="004D404E"/>
    <w:rsid w:val="004D44A6"/>
    <w:rsid w:val="004D4FA2"/>
    <w:rsid w:val="004D62A2"/>
    <w:rsid w:val="004D673A"/>
    <w:rsid w:val="004D7FF0"/>
    <w:rsid w:val="004E0A73"/>
    <w:rsid w:val="004E0DBF"/>
    <w:rsid w:val="004E16D0"/>
    <w:rsid w:val="004E3CFC"/>
    <w:rsid w:val="004E5839"/>
    <w:rsid w:val="004E5C3A"/>
    <w:rsid w:val="004E6115"/>
    <w:rsid w:val="004E668F"/>
    <w:rsid w:val="004E6694"/>
    <w:rsid w:val="004E6D9F"/>
    <w:rsid w:val="004E7D65"/>
    <w:rsid w:val="004F029F"/>
    <w:rsid w:val="004F0A4D"/>
    <w:rsid w:val="004F1E36"/>
    <w:rsid w:val="004F3927"/>
    <w:rsid w:val="004F3E64"/>
    <w:rsid w:val="004F58E1"/>
    <w:rsid w:val="004F720C"/>
    <w:rsid w:val="004F7CBD"/>
    <w:rsid w:val="00500FFF"/>
    <w:rsid w:val="005010C6"/>
    <w:rsid w:val="005011D8"/>
    <w:rsid w:val="0050148E"/>
    <w:rsid w:val="00502006"/>
    <w:rsid w:val="00503304"/>
    <w:rsid w:val="0050434B"/>
    <w:rsid w:val="00504A4A"/>
    <w:rsid w:val="0050500F"/>
    <w:rsid w:val="00506F29"/>
    <w:rsid w:val="00507AC7"/>
    <w:rsid w:val="005109FC"/>
    <w:rsid w:val="00511E3C"/>
    <w:rsid w:val="00513370"/>
    <w:rsid w:val="00513B88"/>
    <w:rsid w:val="00515C1B"/>
    <w:rsid w:val="00520744"/>
    <w:rsid w:val="0052097A"/>
    <w:rsid w:val="00521A93"/>
    <w:rsid w:val="00521C20"/>
    <w:rsid w:val="00522A64"/>
    <w:rsid w:val="00523A27"/>
    <w:rsid w:val="00524529"/>
    <w:rsid w:val="00525853"/>
    <w:rsid w:val="00526666"/>
    <w:rsid w:val="00526F5B"/>
    <w:rsid w:val="00530227"/>
    <w:rsid w:val="00530EAB"/>
    <w:rsid w:val="00531A68"/>
    <w:rsid w:val="00531CC6"/>
    <w:rsid w:val="00531E07"/>
    <w:rsid w:val="00531EEF"/>
    <w:rsid w:val="005320AF"/>
    <w:rsid w:val="00532A8D"/>
    <w:rsid w:val="00532C90"/>
    <w:rsid w:val="00532E08"/>
    <w:rsid w:val="00533308"/>
    <w:rsid w:val="005339D5"/>
    <w:rsid w:val="00533D77"/>
    <w:rsid w:val="0053400A"/>
    <w:rsid w:val="00534793"/>
    <w:rsid w:val="005365B5"/>
    <w:rsid w:val="00541C4C"/>
    <w:rsid w:val="00542227"/>
    <w:rsid w:val="00542A95"/>
    <w:rsid w:val="00544D96"/>
    <w:rsid w:val="00550A78"/>
    <w:rsid w:val="00551115"/>
    <w:rsid w:val="00552631"/>
    <w:rsid w:val="00552FD6"/>
    <w:rsid w:val="00553447"/>
    <w:rsid w:val="00553660"/>
    <w:rsid w:val="00553DEC"/>
    <w:rsid w:val="00554D0D"/>
    <w:rsid w:val="00555E9E"/>
    <w:rsid w:val="00556A7B"/>
    <w:rsid w:val="00557D0F"/>
    <w:rsid w:val="00557D5F"/>
    <w:rsid w:val="00560CE1"/>
    <w:rsid w:val="00565E7F"/>
    <w:rsid w:val="005662E4"/>
    <w:rsid w:val="00566A01"/>
    <w:rsid w:val="00567970"/>
    <w:rsid w:val="00570AE9"/>
    <w:rsid w:val="00571348"/>
    <w:rsid w:val="00571EF3"/>
    <w:rsid w:val="005726A7"/>
    <w:rsid w:val="00572C59"/>
    <w:rsid w:val="0057356C"/>
    <w:rsid w:val="005758C6"/>
    <w:rsid w:val="00575961"/>
    <w:rsid w:val="005765C1"/>
    <w:rsid w:val="00577F89"/>
    <w:rsid w:val="00583447"/>
    <w:rsid w:val="00584559"/>
    <w:rsid w:val="00584D6D"/>
    <w:rsid w:val="00585653"/>
    <w:rsid w:val="00585925"/>
    <w:rsid w:val="00586ADD"/>
    <w:rsid w:val="00587991"/>
    <w:rsid w:val="00587C8D"/>
    <w:rsid w:val="00594F4C"/>
    <w:rsid w:val="00596710"/>
    <w:rsid w:val="00596B81"/>
    <w:rsid w:val="005975A4"/>
    <w:rsid w:val="00597CFF"/>
    <w:rsid w:val="005A07DE"/>
    <w:rsid w:val="005A0F21"/>
    <w:rsid w:val="005A40FF"/>
    <w:rsid w:val="005A4ED5"/>
    <w:rsid w:val="005A5262"/>
    <w:rsid w:val="005A5A8A"/>
    <w:rsid w:val="005B12D0"/>
    <w:rsid w:val="005B12D5"/>
    <w:rsid w:val="005B3365"/>
    <w:rsid w:val="005B355F"/>
    <w:rsid w:val="005B3F60"/>
    <w:rsid w:val="005B452B"/>
    <w:rsid w:val="005B5095"/>
    <w:rsid w:val="005B5E52"/>
    <w:rsid w:val="005C0213"/>
    <w:rsid w:val="005C0D94"/>
    <w:rsid w:val="005C1B4F"/>
    <w:rsid w:val="005C2B1F"/>
    <w:rsid w:val="005C34F7"/>
    <w:rsid w:val="005C43C9"/>
    <w:rsid w:val="005C4679"/>
    <w:rsid w:val="005C5B53"/>
    <w:rsid w:val="005C60EA"/>
    <w:rsid w:val="005D012C"/>
    <w:rsid w:val="005D3A2D"/>
    <w:rsid w:val="005D4470"/>
    <w:rsid w:val="005D4890"/>
    <w:rsid w:val="005D5D0A"/>
    <w:rsid w:val="005D5DF1"/>
    <w:rsid w:val="005E019E"/>
    <w:rsid w:val="005E2F9A"/>
    <w:rsid w:val="005E3022"/>
    <w:rsid w:val="005E7C14"/>
    <w:rsid w:val="005E7CB1"/>
    <w:rsid w:val="005F3A0E"/>
    <w:rsid w:val="005F3CAD"/>
    <w:rsid w:val="005F4ACD"/>
    <w:rsid w:val="005F553F"/>
    <w:rsid w:val="005F7C0C"/>
    <w:rsid w:val="0060010B"/>
    <w:rsid w:val="00600B18"/>
    <w:rsid w:val="00600D38"/>
    <w:rsid w:val="0060103B"/>
    <w:rsid w:val="0060363E"/>
    <w:rsid w:val="006038F2"/>
    <w:rsid w:val="0060461C"/>
    <w:rsid w:val="00605253"/>
    <w:rsid w:val="0060531C"/>
    <w:rsid w:val="006058BA"/>
    <w:rsid w:val="00606E4D"/>
    <w:rsid w:val="0061190F"/>
    <w:rsid w:val="00614825"/>
    <w:rsid w:val="006164D9"/>
    <w:rsid w:val="006174A6"/>
    <w:rsid w:val="00620F17"/>
    <w:rsid w:val="00624133"/>
    <w:rsid w:val="0062468F"/>
    <w:rsid w:val="006257B0"/>
    <w:rsid w:val="00625BBE"/>
    <w:rsid w:val="006267E1"/>
    <w:rsid w:val="00626940"/>
    <w:rsid w:val="00630BA3"/>
    <w:rsid w:val="0063223E"/>
    <w:rsid w:val="00632BCC"/>
    <w:rsid w:val="00634050"/>
    <w:rsid w:val="006358EF"/>
    <w:rsid w:val="00636065"/>
    <w:rsid w:val="00636121"/>
    <w:rsid w:val="00637302"/>
    <w:rsid w:val="00640105"/>
    <w:rsid w:val="00642FF9"/>
    <w:rsid w:val="0064512C"/>
    <w:rsid w:val="0064534D"/>
    <w:rsid w:val="0064592D"/>
    <w:rsid w:val="00646956"/>
    <w:rsid w:val="006469CA"/>
    <w:rsid w:val="0065096B"/>
    <w:rsid w:val="00651BE0"/>
    <w:rsid w:val="00651F5F"/>
    <w:rsid w:val="00651FCD"/>
    <w:rsid w:val="00652F66"/>
    <w:rsid w:val="00653634"/>
    <w:rsid w:val="006559C6"/>
    <w:rsid w:val="0065666E"/>
    <w:rsid w:val="00656715"/>
    <w:rsid w:val="006568EF"/>
    <w:rsid w:val="0066389B"/>
    <w:rsid w:val="00664F76"/>
    <w:rsid w:val="00665026"/>
    <w:rsid w:val="00666194"/>
    <w:rsid w:val="006720D5"/>
    <w:rsid w:val="006745CD"/>
    <w:rsid w:val="006761BC"/>
    <w:rsid w:val="00677361"/>
    <w:rsid w:val="00677AE4"/>
    <w:rsid w:val="00677D93"/>
    <w:rsid w:val="00681A31"/>
    <w:rsid w:val="006832AA"/>
    <w:rsid w:val="00683401"/>
    <w:rsid w:val="0068364C"/>
    <w:rsid w:val="00684798"/>
    <w:rsid w:val="00686402"/>
    <w:rsid w:val="006900E7"/>
    <w:rsid w:val="006911AE"/>
    <w:rsid w:val="00692028"/>
    <w:rsid w:val="00693483"/>
    <w:rsid w:val="00694005"/>
    <w:rsid w:val="00696457"/>
    <w:rsid w:val="006A3567"/>
    <w:rsid w:val="006A6079"/>
    <w:rsid w:val="006A6BC6"/>
    <w:rsid w:val="006A781C"/>
    <w:rsid w:val="006B24FD"/>
    <w:rsid w:val="006B2956"/>
    <w:rsid w:val="006B3DFD"/>
    <w:rsid w:val="006B79E4"/>
    <w:rsid w:val="006D0B41"/>
    <w:rsid w:val="006D2C6C"/>
    <w:rsid w:val="006D4151"/>
    <w:rsid w:val="006D4C8F"/>
    <w:rsid w:val="006D56EE"/>
    <w:rsid w:val="006D5ADB"/>
    <w:rsid w:val="006D5DFB"/>
    <w:rsid w:val="006E09A1"/>
    <w:rsid w:val="006E20CE"/>
    <w:rsid w:val="006E2921"/>
    <w:rsid w:val="006E2D13"/>
    <w:rsid w:val="006E3AF5"/>
    <w:rsid w:val="006E3B20"/>
    <w:rsid w:val="006E40E9"/>
    <w:rsid w:val="006E422D"/>
    <w:rsid w:val="006E7608"/>
    <w:rsid w:val="006E7DD1"/>
    <w:rsid w:val="006F03E8"/>
    <w:rsid w:val="006F2CE5"/>
    <w:rsid w:val="006F37E5"/>
    <w:rsid w:val="006F45E9"/>
    <w:rsid w:val="006F7F4A"/>
    <w:rsid w:val="006F7F69"/>
    <w:rsid w:val="007015D7"/>
    <w:rsid w:val="00701DEF"/>
    <w:rsid w:val="007023CB"/>
    <w:rsid w:val="00702C41"/>
    <w:rsid w:val="00704B67"/>
    <w:rsid w:val="00705481"/>
    <w:rsid w:val="007056F3"/>
    <w:rsid w:val="00706228"/>
    <w:rsid w:val="007071D7"/>
    <w:rsid w:val="00707E7A"/>
    <w:rsid w:val="00710A57"/>
    <w:rsid w:val="007128A6"/>
    <w:rsid w:val="00713BC7"/>
    <w:rsid w:val="007156F0"/>
    <w:rsid w:val="00716CF3"/>
    <w:rsid w:val="00717092"/>
    <w:rsid w:val="00717619"/>
    <w:rsid w:val="007207F5"/>
    <w:rsid w:val="00720C08"/>
    <w:rsid w:val="00722FD1"/>
    <w:rsid w:val="00723166"/>
    <w:rsid w:val="00723FD5"/>
    <w:rsid w:val="00724185"/>
    <w:rsid w:val="00724E63"/>
    <w:rsid w:val="0072589F"/>
    <w:rsid w:val="00725D8B"/>
    <w:rsid w:val="00727139"/>
    <w:rsid w:val="00727BA8"/>
    <w:rsid w:val="0073088E"/>
    <w:rsid w:val="0073246F"/>
    <w:rsid w:val="007333B8"/>
    <w:rsid w:val="00733599"/>
    <w:rsid w:val="00734671"/>
    <w:rsid w:val="00735C95"/>
    <w:rsid w:val="00736C50"/>
    <w:rsid w:val="00737535"/>
    <w:rsid w:val="00737930"/>
    <w:rsid w:val="00737EFA"/>
    <w:rsid w:val="0074064F"/>
    <w:rsid w:val="00740A42"/>
    <w:rsid w:val="00740BF0"/>
    <w:rsid w:val="00741976"/>
    <w:rsid w:val="00743340"/>
    <w:rsid w:val="00743624"/>
    <w:rsid w:val="0074371E"/>
    <w:rsid w:val="0074391C"/>
    <w:rsid w:val="00743A65"/>
    <w:rsid w:val="00743EDD"/>
    <w:rsid w:val="00746D0A"/>
    <w:rsid w:val="00746FF1"/>
    <w:rsid w:val="00747256"/>
    <w:rsid w:val="00747A86"/>
    <w:rsid w:val="00747AC7"/>
    <w:rsid w:val="0075144F"/>
    <w:rsid w:val="00751620"/>
    <w:rsid w:val="007525C0"/>
    <w:rsid w:val="00752783"/>
    <w:rsid w:val="00752AF6"/>
    <w:rsid w:val="00752BB5"/>
    <w:rsid w:val="0075344E"/>
    <w:rsid w:val="00753B20"/>
    <w:rsid w:val="00757771"/>
    <w:rsid w:val="00760336"/>
    <w:rsid w:val="00760C02"/>
    <w:rsid w:val="00760EEF"/>
    <w:rsid w:val="00761F33"/>
    <w:rsid w:val="00763416"/>
    <w:rsid w:val="007635CF"/>
    <w:rsid w:val="00764F34"/>
    <w:rsid w:val="007653F7"/>
    <w:rsid w:val="00767332"/>
    <w:rsid w:val="0076792D"/>
    <w:rsid w:val="007700BC"/>
    <w:rsid w:val="0077021D"/>
    <w:rsid w:val="00770B8B"/>
    <w:rsid w:val="00772974"/>
    <w:rsid w:val="007743FE"/>
    <w:rsid w:val="00775376"/>
    <w:rsid w:val="00776A3D"/>
    <w:rsid w:val="00777269"/>
    <w:rsid w:val="00777A51"/>
    <w:rsid w:val="00777C0A"/>
    <w:rsid w:val="00780622"/>
    <w:rsid w:val="00782E26"/>
    <w:rsid w:val="007837E2"/>
    <w:rsid w:val="0078383D"/>
    <w:rsid w:val="007846FE"/>
    <w:rsid w:val="00784E7C"/>
    <w:rsid w:val="00785CB8"/>
    <w:rsid w:val="007863D8"/>
    <w:rsid w:val="00786588"/>
    <w:rsid w:val="007869B9"/>
    <w:rsid w:val="00787E26"/>
    <w:rsid w:val="00791BD3"/>
    <w:rsid w:val="00793819"/>
    <w:rsid w:val="00795177"/>
    <w:rsid w:val="0079641C"/>
    <w:rsid w:val="00796DF8"/>
    <w:rsid w:val="00796F92"/>
    <w:rsid w:val="007A065B"/>
    <w:rsid w:val="007A09A7"/>
    <w:rsid w:val="007A1179"/>
    <w:rsid w:val="007A29BA"/>
    <w:rsid w:val="007A3943"/>
    <w:rsid w:val="007A3C52"/>
    <w:rsid w:val="007A3EFF"/>
    <w:rsid w:val="007A5FAE"/>
    <w:rsid w:val="007A62D4"/>
    <w:rsid w:val="007B18A9"/>
    <w:rsid w:val="007B44B1"/>
    <w:rsid w:val="007B51C0"/>
    <w:rsid w:val="007B5BD9"/>
    <w:rsid w:val="007B6D0E"/>
    <w:rsid w:val="007B6E42"/>
    <w:rsid w:val="007B743E"/>
    <w:rsid w:val="007C26C5"/>
    <w:rsid w:val="007C3CA9"/>
    <w:rsid w:val="007C5949"/>
    <w:rsid w:val="007C66BE"/>
    <w:rsid w:val="007C7376"/>
    <w:rsid w:val="007D00FE"/>
    <w:rsid w:val="007D0AE6"/>
    <w:rsid w:val="007D0E7D"/>
    <w:rsid w:val="007D1D39"/>
    <w:rsid w:val="007D2319"/>
    <w:rsid w:val="007D24E2"/>
    <w:rsid w:val="007D36C9"/>
    <w:rsid w:val="007D4819"/>
    <w:rsid w:val="007D4CC8"/>
    <w:rsid w:val="007D5061"/>
    <w:rsid w:val="007D51BE"/>
    <w:rsid w:val="007D65C0"/>
    <w:rsid w:val="007D754D"/>
    <w:rsid w:val="007E0C1A"/>
    <w:rsid w:val="007E18C7"/>
    <w:rsid w:val="007E35A5"/>
    <w:rsid w:val="007E3867"/>
    <w:rsid w:val="007E3A37"/>
    <w:rsid w:val="007E3ED4"/>
    <w:rsid w:val="007E3FC4"/>
    <w:rsid w:val="007E44E1"/>
    <w:rsid w:val="007E4AA1"/>
    <w:rsid w:val="007E663B"/>
    <w:rsid w:val="007E74AF"/>
    <w:rsid w:val="007E77FB"/>
    <w:rsid w:val="007F084D"/>
    <w:rsid w:val="007F2569"/>
    <w:rsid w:val="007F25FE"/>
    <w:rsid w:val="007F2E8B"/>
    <w:rsid w:val="007F4EA4"/>
    <w:rsid w:val="007F6B56"/>
    <w:rsid w:val="0080092F"/>
    <w:rsid w:val="008010C2"/>
    <w:rsid w:val="00801305"/>
    <w:rsid w:val="00802C74"/>
    <w:rsid w:val="00804385"/>
    <w:rsid w:val="00804ACD"/>
    <w:rsid w:val="00804F3A"/>
    <w:rsid w:val="0080631E"/>
    <w:rsid w:val="00806A35"/>
    <w:rsid w:val="00811B17"/>
    <w:rsid w:val="00811D4A"/>
    <w:rsid w:val="00812003"/>
    <w:rsid w:val="00812C7C"/>
    <w:rsid w:val="00814E9C"/>
    <w:rsid w:val="008207C8"/>
    <w:rsid w:val="008229A2"/>
    <w:rsid w:val="00824155"/>
    <w:rsid w:val="00826BEB"/>
    <w:rsid w:val="008275C7"/>
    <w:rsid w:val="00827F99"/>
    <w:rsid w:val="00831751"/>
    <w:rsid w:val="00831951"/>
    <w:rsid w:val="008319DB"/>
    <w:rsid w:val="00831EC8"/>
    <w:rsid w:val="00832F67"/>
    <w:rsid w:val="00834461"/>
    <w:rsid w:val="0083613B"/>
    <w:rsid w:val="008372CC"/>
    <w:rsid w:val="00837C69"/>
    <w:rsid w:val="00837E4C"/>
    <w:rsid w:val="008402C8"/>
    <w:rsid w:val="00842999"/>
    <w:rsid w:val="008431CE"/>
    <w:rsid w:val="00843488"/>
    <w:rsid w:val="00843AF0"/>
    <w:rsid w:val="00843D6B"/>
    <w:rsid w:val="00844547"/>
    <w:rsid w:val="008447C6"/>
    <w:rsid w:val="008473C4"/>
    <w:rsid w:val="0084764B"/>
    <w:rsid w:val="008500FB"/>
    <w:rsid w:val="00852B8A"/>
    <w:rsid w:val="00852EC3"/>
    <w:rsid w:val="0085351E"/>
    <w:rsid w:val="008539E3"/>
    <w:rsid w:val="00854166"/>
    <w:rsid w:val="00854206"/>
    <w:rsid w:val="00855E27"/>
    <w:rsid w:val="0085653B"/>
    <w:rsid w:val="00856759"/>
    <w:rsid w:val="008567D0"/>
    <w:rsid w:val="00856E13"/>
    <w:rsid w:val="00857409"/>
    <w:rsid w:val="00857750"/>
    <w:rsid w:val="0086115B"/>
    <w:rsid w:val="00861AD7"/>
    <w:rsid w:val="008628C7"/>
    <w:rsid w:val="008631A7"/>
    <w:rsid w:val="00865AA9"/>
    <w:rsid w:val="00867008"/>
    <w:rsid w:val="00867B32"/>
    <w:rsid w:val="008714D9"/>
    <w:rsid w:val="008718A1"/>
    <w:rsid w:val="00874DED"/>
    <w:rsid w:val="00875CC1"/>
    <w:rsid w:val="00877F3A"/>
    <w:rsid w:val="00880881"/>
    <w:rsid w:val="008815B7"/>
    <w:rsid w:val="008843DC"/>
    <w:rsid w:val="00887217"/>
    <w:rsid w:val="00890C39"/>
    <w:rsid w:val="00891CA4"/>
    <w:rsid w:val="00892893"/>
    <w:rsid w:val="008946A1"/>
    <w:rsid w:val="00896705"/>
    <w:rsid w:val="008971BE"/>
    <w:rsid w:val="008A09AC"/>
    <w:rsid w:val="008A1602"/>
    <w:rsid w:val="008A2B53"/>
    <w:rsid w:val="008A2BE6"/>
    <w:rsid w:val="008A4CDC"/>
    <w:rsid w:val="008A5BE0"/>
    <w:rsid w:val="008A5D18"/>
    <w:rsid w:val="008A69B5"/>
    <w:rsid w:val="008A7A88"/>
    <w:rsid w:val="008B0301"/>
    <w:rsid w:val="008B0534"/>
    <w:rsid w:val="008B2342"/>
    <w:rsid w:val="008B268B"/>
    <w:rsid w:val="008B28B8"/>
    <w:rsid w:val="008B29C5"/>
    <w:rsid w:val="008B5C18"/>
    <w:rsid w:val="008B5F18"/>
    <w:rsid w:val="008B6088"/>
    <w:rsid w:val="008B6389"/>
    <w:rsid w:val="008C0C3C"/>
    <w:rsid w:val="008C121E"/>
    <w:rsid w:val="008C236E"/>
    <w:rsid w:val="008C3751"/>
    <w:rsid w:val="008C3C8F"/>
    <w:rsid w:val="008C3FFF"/>
    <w:rsid w:val="008C4725"/>
    <w:rsid w:val="008D10E4"/>
    <w:rsid w:val="008D1A8E"/>
    <w:rsid w:val="008D1EBE"/>
    <w:rsid w:val="008D32AD"/>
    <w:rsid w:val="008D4269"/>
    <w:rsid w:val="008D490D"/>
    <w:rsid w:val="008D4F60"/>
    <w:rsid w:val="008D55BF"/>
    <w:rsid w:val="008D78C4"/>
    <w:rsid w:val="008E05AC"/>
    <w:rsid w:val="008E1811"/>
    <w:rsid w:val="008E29AB"/>
    <w:rsid w:val="008E2F0A"/>
    <w:rsid w:val="008E2F42"/>
    <w:rsid w:val="008E3610"/>
    <w:rsid w:val="008E4AC0"/>
    <w:rsid w:val="008E51E8"/>
    <w:rsid w:val="008E5B50"/>
    <w:rsid w:val="008E760C"/>
    <w:rsid w:val="008F15DC"/>
    <w:rsid w:val="008F2881"/>
    <w:rsid w:val="008F501C"/>
    <w:rsid w:val="008F5417"/>
    <w:rsid w:val="008F613C"/>
    <w:rsid w:val="008F7FF2"/>
    <w:rsid w:val="009004FC"/>
    <w:rsid w:val="00900886"/>
    <w:rsid w:val="00902173"/>
    <w:rsid w:val="00902364"/>
    <w:rsid w:val="00902897"/>
    <w:rsid w:val="00903034"/>
    <w:rsid w:val="0090549C"/>
    <w:rsid w:val="00905F2A"/>
    <w:rsid w:val="00906BAE"/>
    <w:rsid w:val="00906EC0"/>
    <w:rsid w:val="009074D0"/>
    <w:rsid w:val="00907C69"/>
    <w:rsid w:val="009106B6"/>
    <w:rsid w:val="009117D3"/>
    <w:rsid w:val="00912467"/>
    <w:rsid w:val="00912512"/>
    <w:rsid w:val="00915347"/>
    <w:rsid w:val="00915A62"/>
    <w:rsid w:val="00917A3F"/>
    <w:rsid w:val="00917C1E"/>
    <w:rsid w:val="00921157"/>
    <w:rsid w:val="00922C94"/>
    <w:rsid w:val="0092327D"/>
    <w:rsid w:val="009239C1"/>
    <w:rsid w:val="00925AA7"/>
    <w:rsid w:val="0092642C"/>
    <w:rsid w:val="00926D6E"/>
    <w:rsid w:val="00927B2D"/>
    <w:rsid w:val="00930F6C"/>
    <w:rsid w:val="00930F95"/>
    <w:rsid w:val="0093119A"/>
    <w:rsid w:val="00932314"/>
    <w:rsid w:val="00936749"/>
    <w:rsid w:val="00937BE3"/>
    <w:rsid w:val="00940705"/>
    <w:rsid w:val="00942DD5"/>
    <w:rsid w:val="00943A0A"/>
    <w:rsid w:val="00946382"/>
    <w:rsid w:val="00946CEA"/>
    <w:rsid w:val="0094761F"/>
    <w:rsid w:val="00947CC0"/>
    <w:rsid w:val="00947E9B"/>
    <w:rsid w:val="009503EB"/>
    <w:rsid w:val="00951AE5"/>
    <w:rsid w:val="009520BD"/>
    <w:rsid w:val="00953498"/>
    <w:rsid w:val="009544BB"/>
    <w:rsid w:val="00954B2C"/>
    <w:rsid w:val="00956BB3"/>
    <w:rsid w:val="00956CCA"/>
    <w:rsid w:val="00957416"/>
    <w:rsid w:val="00957928"/>
    <w:rsid w:val="00957C8B"/>
    <w:rsid w:val="009618CE"/>
    <w:rsid w:val="00961ED6"/>
    <w:rsid w:val="00964302"/>
    <w:rsid w:val="00964BDB"/>
    <w:rsid w:val="009657B8"/>
    <w:rsid w:val="00966023"/>
    <w:rsid w:val="00967608"/>
    <w:rsid w:val="00971D48"/>
    <w:rsid w:val="00972F38"/>
    <w:rsid w:val="00974CB8"/>
    <w:rsid w:val="00975ACF"/>
    <w:rsid w:val="00977465"/>
    <w:rsid w:val="00977AE7"/>
    <w:rsid w:val="00977CF9"/>
    <w:rsid w:val="00980D22"/>
    <w:rsid w:val="0098159A"/>
    <w:rsid w:val="0098167B"/>
    <w:rsid w:val="00982C84"/>
    <w:rsid w:val="00983F63"/>
    <w:rsid w:val="009848DA"/>
    <w:rsid w:val="00984FDC"/>
    <w:rsid w:val="00985553"/>
    <w:rsid w:val="0098596F"/>
    <w:rsid w:val="00990BD2"/>
    <w:rsid w:val="00990C89"/>
    <w:rsid w:val="009916B6"/>
    <w:rsid w:val="00991EA8"/>
    <w:rsid w:val="00992467"/>
    <w:rsid w:val="009935F7"/>
    <w:rsid w:val="009951B5"/>
    <w:rsid w:val="00995293"/>
    <w:rsid w:val="009953A8"/>
    <w:rsid w:val="00995897"/>
    <w:rsid w:val="0099599F"/>
    <w:rsid w:val="0099677D"/>
    <w:rsid w:val="009969BA"/>
    <w:rsid w:val="00996C8A"/>
    <w:rsid w:val="009970C9"/>
    <w:rsid w:val="009979BE"/>
    <w:rsid w:val="009A0266"/>
    <w:rsid w:val="009A3201"/>
    <w:rsid w:val="009A38E7"/>
    <w:rsid w:val="009A5A7F"/>
    <w:rsid w:val="009A5F88"/>
    <w:rsid w:val="009A6BE3"/>
    <w:rsid w:val="009B072C"/>
    <w:rsid w:val="009B1613"/>
    <w:rsid w:val="009B2084"/>
    <w:rsid w:val="009B20E0"/>
    <w:rsid w:val="009B51E9"/>
    <w:rsid w:val="009B592F"/>
    <w:rsid w:val="009B60F8"/>
    <w:rsid w:val="009B6516"/>
    <w:rsid w:val="009B6D18"/>
    <w:rsid w:val="009B7A7C"/>
    <w:rsid w:val="009C00EB"/>
    <w:rsid w:val="009C0D4B"/>
    <w:rsid w:val="009C11D2"/>
    <w:rsid w:val="009C2BE4"/>
    <w:rsid w:val="009C4112"/>
    <w:rsid w:val="009C453B"/>
    <w:rsid w:val="009C5D4B"/>
    <w:rsid w:val="009D0D7A"/>
    <w:rsid w:val="009D241D"/>
    <w:rsid w:val="009D72E1"/>
    <w:rsid w:val="009D730C"/>
    <w:rsid w:val="009E0889"/>
    <w:rsid w:val="009E0C2E"/>
    <w:rsid w:val="009E17F8"/>
    <w:rsid w:val="009E2192"/>
    <w:rsid w:val="009E32B7"/>
    <w:rsid w:val="009E3D17"/>
    <w:rsid w:val="009E4871"/>
    <w:rsid w:val="009E5856"/>
    <w:rsid w:val="009E5D31"/>
    <w:rsid w:val="009E72EE"/>
    <w:rsid w:val="009E7746"/>
    <w:rsid w:val="009F0C22"/>
    <w:rsid w:val="009F2384"/>
    <w:rsid w:val="009F456B"/>
    <w:rsid w:val="009F465C"/>
    <w:rsid w:val="009F4A0A"/>
    <w:rsid w:val="009F5105"/>
    <w:rsid w:val="009F5A89"/>
    <w:rsid w:val="009F79F5"/>
    <w:rsid w:val="009F7E70"/>
    <w:rsid w:val="009F7F63"/>
    <w:rsid w:val="00A00159"/>
    <w:rsid w:val="00A01AA1"/>
    <w:rsid w:val="00A01B6A"/>
    <w:rsid w:val="00A028D4"/>
    <w:rsid w:val="00A03E95"/>
    <w:rsid w:val="00A056B9"/>
    <w:rsid w:val="00A05817"/>
    <w:rsid w:val="00A06D66"/>
    <w:rsid w:val="00A07F15"/>
    <w:rsid w:val="00A101D2"/>
    <w:rsid w:val="00A10A12"/>
    <w:rsid w:val="00A114D0"/>
    <w:rsid w:val="00A139A3"/>
    <w:rsid w:val="00A14408"/>
    <w:rsid w:val="00A1533F"/>
    <w:rsid w:val="00A15346"/>
    <w:rsid w:val="00A16F68"/>
    <w:rsid w:val="00A170A4"/>
    <w:rsid w:val="00A2043F"/>
    <w:rsid w:val="00A204CA"/>
    <w:rsid w:val="00A20B01"/>
    <w:rsid w:val="00A20E0B"/>
    <w:rsid w:val="00A211D4"/>
    <w:rsid w:val="00A2160C"/>
    <w:rsid w:val="00A22EDF"/>
    <w:rsid w:val="00A234F1"/>
    <w:rsid w:val="00A242D0"/>
    <w:rsid w:val="00A2553F"/>
    <w:rsid w:val="00A25780"/>
    <w:rsid w:val="00A30C14"/>
    <w:rsid w:val="00A30DC3"/>
    <w:rsid w:val="00A30DD7"/>
    <w:rsid w:val="00A3169A"/>
    <w:rsid w:val="00A31CAF"/>
    <w:rsid w:val="00A355FB"/>
    <w:rsid w:val="00A35617"/>
    <w:rsid w:val="00A35C25"/>
    <w:rsid w:val="00A36718"/>
    <w:rsid w:val="00A37B79"/>
    <w:rsid w:val="00A37F75"/>
    <w:rsid w:val="00A412F1"/>
    <w:rsid w:val="00A41AC2"/>
    <w:rsid w:val="00A42818"/>
    <w:rsid w:val="00A42CD4"/>
    <w:rsid w:val="00A42E39"/>
    <w:rsid w:val="00A42EF2"/>
    <w:rsid w:val="00A43702"/>
    <w:rsid w:val="00A43C5A"/>
    <w:rsid w:val="00A443E1"/>
    <w:rsid w:val="00A46031"/>
    <w:rsid w:val="00A46758"/>
    <w:rsid w:val="00A46F32"/>
    <w:rsid w:val="00A501E1"/>
    <w:rsid w:val="00A502C2"/>
    <w:rsid w:val="00A52718"/>
    <w:rsid w:val="00A52982"/>
    <w:rsid w:val="00A553CE"/>
    <w:rsid w:val="00A5715A"/>
    <w:rsid w:val="00A57CB8"/>
    <w:rsid w:val="00A609EC"/>
    <w:rsid w:val="00A61973"/>
    <w:rsid w:val="00A63ECE"/>
    <w:rsid w:val="00A64DD6"/>
    <w:rsid w:val="00A717EC"/>
    <w:rsid w:val="00A72D49"/>
    <w:rsid w:val="00A72F18"/>
    <w:rsid w:val="00A7395C"/>
    <w:rsid w:val="00A754D3"/>
    <w:rsid w:val="00A7647D"/>
    <w:rsid w:val="00A76DA1"/>
    <w:rsid w:val="00A775F2"/>
    <w:rsid w:val="00A81055"/>
    <w:rsid w:val="00A82937"/>
    <w:rsid w:val="00A8345E"/>
    <w:rsid w:val="00A83E3E"/>
    <w:rsid w:val="00A83F6E"/>
    <w:rsid w:val="00A8484F"/>
    <w:rsid w:val="00A86E78"/>
    <w:rsid w:val="00A877E3"/>
    <w:rsid w:val="00A90EB0"/>
    <w:rsid w:val="00A9209B"/>
    <w:rsid w:val="00A93FCF"/>
    <w:rsid w:val="00A95F89"/>
    <w:rsid w:val="00A96E65"/>
    <w:rsid w:val="00A97DCF"/>
    <w:rsid w:val="00AA20B2"/>
    <w:rsid w:val="00AA4316"/>
    <w:rsid w:val="00AA4CAB"/>
    <w:rsid w:val="00AA5B9D"/>
    <w:rsid w:val="00AA60D2"/>
    <w:rsid w:val="00AA63B3"/>
    <w:rsid w:val="00AA65BC"/>
    <w:rsid w:val="00AB2821"/>
    <w:rsid w:val="00AB2EBF"/>
    <w:rsid w:val="00AB3A76"/>
    <w:rsid w:val="00AB4DDF"/>
    <w:rsid w:val="00AC0403"/>
    <w:rsid w:val="00AC04BD"/>
    <w:rsid w:val="00AC2DBC"/>
    <w:rsid w:val="00AC312B"/>
    <w:rsid w:val="00AC33C7"/>
    <w:rsid w:val="00AC4025"/>
    <w:rsid w:val="00AC6910"/>
    <w:rsid w:val="00AC7131"/>
    <w:rsid w:val="00AD05BF"/>
    <w:rsid w:val="00AD07DC"/>
    <w:rsid w:val="00AD12BE"/>
    <w:rsid w:val="00AD22D9"/>
    <w:rsid w:val="00AD350D"/>
    <w:rsid w:val="00AD3B2B"/>
    <w:rsid w:val="00AD402F"/>
    <w:rsid w:val="00AD7FF3"/>
    <w:rsid w:val="00AE08DF"/>
    <w:rsid w:val="00AE189C"/>
    <w:rsid w:val="00AE1B7F"/>
    <w:rsid w:val="00AE209B"/>
    <w:rsid w:val="00AE2D25"/>
    <w:rsid w:val="00AE38C8"/>
    <w:rsid w:val="00AE4172"/>
    <w:rsid w:val="00AE51A5"/>
    <w:rsid w:val="00AE5833"/>
    <w:rsid w:val="00AE5FFD"/>
    <w:rsid w:val="00AE6538"/>
    <w:rsid w:val="00AE7593"/>
    <w:rsid w:val="00AF06E4"/>
    <w:rsid w:val="00AF12A8"/>
    <w:rsid w:val="00AF147C"/>
    <w:rsid w:val="00AF1935"/>
    <w:rsid w:val="00AF1FF3"/>
    <w:rsid w:val="00AF2CBA"/>
    <w:rsid w:val="00AF2D98"/>
    <w:rsid w:val="00AF3C4E"/>
    <w:rsid w:val="00AF3D2F"/>
    <w:rsid w:val="00AF526E"/>
    <w:rsid w:val="00AF685B"/>
    <w:rsid w:val="00AF7CD6"/>
    <w:rsid w:val="00B0079C"/>
    <w:rsid w:val="00B009AC"/>
    <w:rsid w:val="00B00D0E"/>
    <w:rsid w:val="00B01028"/>
    <w:rsid w:val="00B01264"/>
    <w:rsid w:val="00B04677"/>
    <w:rsid w:val="00B04A58"/>
    <w:rsid w:val="00B05391"/>
    <w:rsid w:val="00B05ED4"/>
    <w:rsid w:val="00B07164"/>
    <w:rsid w:val="00B079F2"/>
    <w:rsid w:val="00B11046"/>
    <w:rsid w:val="00B120E5"/>
    <w:rsid w:val="00B12A61"/>
    <w:rsid w:val="00B13275"/>
    <w:rsid w:val="00B13964"/>
    <w:rsid w:val="00B143D6"/>
    <w:rsid w:val="00B16220"/>
    <w:rsid w:val="00B167DA"/>
    <w:rsid w:val="00B16C4F"/>
    <w:rsid w:val="00B200EB"/>
    <w:rsid w:val="00B24765"/>
    <w:rsid w:val="00B24FA0"/>
    <w:rsid w:val="00B2508D"/>
    <w:rsid w:val="00B2639B"/>
    <w:rsid w:val="00B26BD1"/>
    <w:rsid w:val="00B27EEB"/>
    <w:rsid w:val="00B303E8"/>
    <w:rsid w:val="00B303FF"/>
    <w:rsid w:val="00B31098"/>
    <w:rsid w:val="00B31F73"/>
    <w:rsid w:val="00B3324D"/>
    <w:rsid w:val="00B34CE4"/>
    <w:rsid w:val="00B34D28"/>
    <w:rsid w:val="00B36EE5"/>
    <w:rsid w:val="00B42031"/>
    <w:rsid w:val="00B42B60"/>
    <w:rsid w:val="00B455BD"/>
    <w:rsid w:val="00B46A80"/>
    <w:rsid w:val="00B502DA"/>
    <w:rsid w:val="00B50A9B"/>
    <w:rsid w:val="00B50D65"/>
    <w:rsid w:val="00B51C0A"/>
    <w:rsid w:val="00B54BBE"/>
    <w:rsid w:val="00B56B01"/>
    <w:rsid w:val="00B60F18"/>
    <w:rsid w:val="00B610B8"/>
    <w:rsid w:val="00B61FC3"/>
    <w:rsid w:val="00B647B6"/>
    <w:rsid w:val="00B64A10"/>
    <w:rsid w:val="00B64BD1"/>
    <w:rsid w:val="00B66114"/>
    <w:rsid w:val="00B66BBF"/>
    <w:rsid w:val="00B67684"/>
    <w:rsid w:val="00B67B20"/>
    <w:rsid w:val="00B703BF"/>
    <w:rsid w:val="00B71E14"/>
    <w:rsid w:val="00B73856"/>
    <w:rsid w:val="00B7397A"/>
    <w:rsid w:val="00B745B3"/>
    <w:rsid w:val="00B7465F"/>
    <w:rsid w:val="00B74B59"/>
    <w:rsid w:val="00B74E88"/>
    <w:rsid w:val="00B758E7"/>
    <w:rsid w:val="00B7715A"/>
    <w:rsid w:val="00B7755E"/>
    <w:rsid w:val="00B80CA7"/>
    <w:rsid w:val="00B81E0B"/>
    <w:rsid w:val="00B83846"/>
    <w:rsid w:val="00B84A1C"/>
    <w:rsid w:val="00B8778F"/>
    <w:rsid w:val="00B9049C"/>
    <w:rsid w:val="00B90728"/>
    <w:rsid w:val="00B91E46"/>
    <w:rsid w:val="00B92ED4"/>
    <w:rsid w:val="00B9393D"/>
    <w:rsid w:val="00B945D2"/>
    <w:rsid w:val="00B94D98"/>
    <w:rsid w:val="00B94FB3"/>
    <w:rsid w:val="00B95450"/>
    <w:rsid w:val="00B967FC"/>
    <w:rsid w:val="00B972D1"/>
    <w:rsid w:val="00BA01CA"/>
    <w:rsid w:val="00BA0703"/>
    <w:rsid w:val="00BA0741"/>
    <w:rsid w:val="00BA08E1"/>
    <w:rsid w:val="00BA0B87"/>
    <w:rsid w:val="00BA1D4C"/>
    <w:rsid w:val="00BA2772"/>
    <w:rsid w:val="00BA2C14"/>
    <w:rsid w:val="00BA337D"/>
    <w:rsid w:val="00BA442B"/>
    <w:rsid w:val="00BA515E"/>
    <w:rsid w:val="00BA56DE"/>
    <w:rsid w:val="00BA6570"/>
    <w:rsid w:val="00BA6CF1"/>
    <w:rsid w:val="00BB1E0D"/>
    <w:rsid w:val="00BB37FE"/>
    <w:rsid w:val="00BB4577"/>
    <w:rsid w:val="00BB4E21"/>
    <w:rsid w:val="00BB50A0"/>
    <w:rsid w:val="00BB50FD"/>
    <w:rsid w:val="00BB6128"/>
    <w:rsid w:val="00BB625B"/>
    <w:rsid w:val="00BB773C"/>
    <w:rsid w:val="00BB7A7C"/>
    <w:rsid w:val="00BC0693"/>
    <w:rsid w:val="00BC08EF"/>
    <w:rsid w:val="00BC276D"/>
    <w:rsid w:val="00BC4851"/>
    <w:rsid w:val="00BC4E7A"/>
    <w:rsid w:val="00BC50EB"/>
    <w:rsid w:val="00BC540F"/>
    <w:rsid w:val="00BC5B7D"/>
    <w:rsid w:val="00BC5F23"/>
    <w:rsid w:val="00BD0109"/>
    <w:rsid w:val="00BD06A1"/>
    <w:rsid w:val="00BD0B25"/>
    <w:rsid w:val="00BD1B27"/>
    <w:rsid w:val="00BD4079"/>
    <w:rsid w:val="00BD4285"/>
    <w:rsid w:val="00BD4CDF"/>
    <w:rsid w:val="00BD4EDA"/>
    <w:rsid w:val="00BD6E0A"/>
    <w:rsid w:val="00BE0571"/>
    <w:rsid w:val="00BE15D9"/>
    <w:rsid w:val="00BE18AA"/>
    <w:rsid w:val="00BE21B8"/>
    <w:rsid w:val="00BE43DC"/>
    <w:rsid w:val="00BE44EF"/>
    <w:rsid w:val="00BE45E3"/>
    <w:rsid w:val="00BE4AD8"/>
    <w:rsid w:val="00BE4EAE"/>
    <w:rsid w:val="00BE4F03"/>
    <w:rsid w:val="00BE62F2"/>
    <w:rsid w:val="00BE759C"/>
    <w:rsid w:val="00BE7872"/>
    <w:rsid w:val="00BE7A28"/>
    <w:rsid w:val="00BE7E6A"/>
    <w:rsid w:val="00BF0331"/>
    <w:rsid w:val="00BF0981"/>
    <w:rsid w:val="00BF0B88"/>
    <w:rsid w:val="00BF0D16"/>
    <w:rsid w:val="00BF147C"/>
    <w:rsid w:val="00BF15A9"/>
    <w:rsid w:val="00BF1C77"/>
    <w:rsid w:val="00BF3C84"/>
    <w:rsid w:val="00BF4FA5"/>
    <w:rsid w:val="00BF52D4"/>
    <w:rsid w:val="00BF5B6A"/>
    <w:rsid w:val="00BF61B7"/>
    <w:rsid w:val="00C0034C"/>
    <w:rsid w:val="00C00BC6"/>
    <w:rsid w:val="00C01239"/>
    <w:rsid w:val="00C01D5D"/>
    <w:rsid w:val="00C02131"/>
    <w:rsid w:val="00C02872"/>
    <w:rsid w:val="00C029EB"/>
    <w:rsid w:val="00C03138"/>
    <w:rsid w:val="00C04B36"/>
    <w:rsid w:val="00C0553E"/>
    <w:rsid w:val="00C05827"/>
    <w:rsid w:val="00C05EF0"/>
    <w:rsid w:val="00C075C0"/>
    <w:rsid w:val="00C10682"/>
    <w:rsid w:val="00C11724"/>
    <w:rsid w:val="00C123A4"/>
    <w:rsid w:val="00C13605"/>
    <w:rsid w:val="00C14C9B"/>
    <w:rsid w:val="00C166F5"/>
    <w:rsid w:val="00C16DC0"/>
    <w:rsid w:val="00C207C6"/>
    <w:rsid w:val="00C22736"/>
    <w:rsid w:val="00C2310B"/>
    <w:rsid w:val="00C23D6C"/>
    <w:rsid w:val="00C244D0"/>
    <w:rsid w:val="00C2454B"/>
    <w:rsid w:val="00C257AB"/>
    <w:rsid w:val="00C27B0E"/>
    <w:rsid w:val="00C32816"/>
    <w:rsid w:val="00C3523A"/>
    <w:rsid w:val="00C35D7C"/>
    <w:rsid w:val="00C36B68"/>
    <w:rsid w:val="00C36F1C"/>
    <w:rsid w:val="00C4099C"/>
    <w:rsid w:val="00C40C1D"/>
    <w:rsid w:val="00C4109F"/>
    <w:rsid w:val="00C42E93"/>
    <w:rsid w:val="00C44940"/>
    <w:rsid w:val="00C44B0E"/>
    <w:rsid w:val="00C44B2F"/>
    <w:rsid w:val="00C45969"/>
    <w:rsid w:val="00C45D39"/>
    <w:rsid w:val="00C46038"/>
    <w:rsid w:val="00C472E4"/>
    <w:rsid w:val="00C519B1"/>
    <w:rsid w:val="00C52CA7"/>
    <w:rsid w:val="00C52DB0"/>
    <w:rsid w:val="00C543B8"/>
    <w:rsid w:val="00C545D3"/>
    <w:rsid w:val="00C54CD1"/>
    <w:rsid w:val="00C610A8"/>
    <w:rsid w:val="00C61C09"/>
    <w:rsid w:val="00C62FF8"/>
    <w:rsid w:val="00C644F4"/>
    <w:rsid w:val="00C652F7"/>
    <w:rsid w:val="00C660FF"/>
    <w:rsid w:val="00C70AE7"/>
    <w:rsid w:val="00C71382"/>
    <w:rsid w:val="00C7149B"/>
    <w:rsid w:val="00C71678"/>
    <w:rsid w:val="00C71DB6"/>
    <w:rsid w:val="00C7329A"/>
    <w:rsid w:val="00C735C2"/>
    <w:rsid w:val="00C7386A"/>
    <w:rsid w:val="00C73A97"/>
    <w:rsid w:val="00C75109"/>
    <w:rsid w:val="00C7640F"/>
    <w:rsid w:val="00C77C6D"/>
    <w:rsid w:val="00C804A8"/>
    <w:rsid w:val="00C80957"/>
    <w:rsid w:val="00C817E4"/>
    <w:rsid w:val="00C82406"/>
    <w:rsid w:val="00C82407"/>
    <w:rsid w:val="00C82970"/>
    <w:rsid w:val="00C833EB"/>
    <w:rsid w:val="00C84666"/>
    <w:rsid w:val="00C8485D"/>
    <w:rsid w:val="00C8608C"/>
    <w:rsid w:val="00C864A7"/>
    <w:rsid w:val="00C87B83"/>
    <w:rsid w:val="00C91592"/>
    <w:rsid w:val="00C934DA"/>
    <w:rsid w:val="00C936B6"/>
    <w:rsid w:val="00C93F92"/>
    <w:rsid w:val="00C94540"/>
    <w:rsid w:val="00C945DF"/>
    <w:rsid w:val="00C94FBC"/>
    <w:rsid w:val="00C955FF"/>
    <w:rsid w:val="00C95CC6"/>
    <w:rsid w:val="00C9751B"/>
    <w:rsid w:val="00C97D6E"/>
    <w:rsid w:val="00C97D6F"/>
    <w:rsid w:val="00C97FBA"/>
    <w:rsid w:val="00CA12D8"/>
    <w:rsid w:val="00CA16CD"/>
    <w:rsid w:val="00CA3B6E"/>
    <w:rsid w:val="00CA48AC"/>
    <w:rsid w:val="00CA5B6A"/>
    <w:rsid w:val="00CA6518"/>
    <w:rsid w:val="00CA724C"/>
    <w:rsid w:val="00CB0904"/>
    <w:rsid w:val="00CB0C9B"/>
    <w:rsid w:val="00CB1715"/>
    <w:rsid w:val="00CB2B28"/>
    <w:rsid w:val="00CB39D2"/>
    <w:rsid w:val="00CB4AA4"/>
    <w:rsid w:val="00CB55F8"/>
    <w:rsid w:val="00CB6360"/>
    <w:rsid w:val="00CB782F"/>
    <w:rsid w:val="00CC0F39"/>
    <w:rsid w:val="00CC22AB"/>
    <w:rsid w:val="00CC3A48"/>
    <w:rsid w:val="00CC3C08"/>
    <w:rsid w:val="00CC3C70"/>
    <w:rsid w:val="00CC69A3"/>
    <w:rsid w:val="00CC6BBE"/>
    <w:rsid w:val="00CD009E"/>
    <w:rsid w:val="00CD124B"/>
    <w:rsid w:val="00CD2293"/>
    <w:rsid w:val="00CD25EC"/>
    <w:rsid w:val="00CD2734"/>
    <w:rsid w:val="00CD284F"/>
    <w:rsid w:val="00CD3321"/>
    <w:rsid w:val="00CD3F72"/>
    <w:rsid w:val="00CD523F"/>
    <w:rsid w:val="00CD57C1"/>
    <w:rsid w:val="00CD5B82"/>
    <w:rsid w:val="00CD5DD2"/>
    <w:rsid w:val="00CE06B9"/>
    <w:rsid w:val="00CE158C"/>
    <w:rsid w:val="00CE15A2"/>
    <w:rsid w:val="00CE23DE"/>
    <w:rsid w:val="00CE2572"/>
    <w:rsid w:val="00CE3373"/>
    <w:rsid w:val="00CE3483"/>
    <w:rsid w:val="00CE3C71"/>
    <w:rsid w:val="00CE3D7F"/>
    <w:rsid w:val="00CE4117"/>
    <w:rsid w:val="00CE4578"/>
    <w:rsid w:val="00CE5168"/>
    <w:rsid w:val="00CE62FD"/>
    <w:rsid w:val="00CE6856"/>
    <w:rsid w:val="00CE7FB9"/>
    <w:rsid w:val="00CF1BF2"/>
    <w:rsid w:val="00CF2121"/>
    <w:rsid w:val="00CF2894"/>
    <w:rsid w:val="00CF2A93"/>
    <w:rsid w:val="00CF2DCB"/>
    <w:rsid w:val="00CF3006"/>
    <w:rsid w:val="00CF326B"/>
    <w:rsid w:val="00CF3C87"/>
    <w:rsid w:val="00CF6195"/>
    <w:rsid w:val="00CF7B23"/>
    <w:rsid w:val="00D0040B"/>
    <w:rsid w:val="00D01A66"/>
    <w:rsid w:val="00D03692"/>
    <w:rsid w:val="00D06AF0"/>
    <w:rsid w:val="00D07218"/>
    <w:rsid w:val="00D1065A"/>
    <w:rsid w:val="00D10933"/>
    <w:rsid w:val="00D11444"/>
    <w:rsid w:val="00D126BC"/>
    <w:rsid w:val="00D14D7A"/>
    <w:rsid w:val="00D15AF8"/>
    <w:rsid w:val="00D15ED5"/>
    <w:rsid w:val="00D164FA"/>
    <w:rsid w:val="00D169CE"/>
    <w:rsid w:val="00D16BF6"/>
    <w:rsid w:val="00D2279F"/>
    <w:rsid w:val="00D231FB"/>
    <w:rsid w:val="00D2640D"/>
    <w:rsid w:val="00D266AF"/>
    <w:rsid w:val="00D3561F"/>
    <w:rsid w:val="00D35E37"/>
    <w:rsid w:val="00D40071"/>
    <w:rsid w:val="00D4082A"/>
    <w:rsid w:val="00D41950"/>
    <w:rsid w:val="00D41FFA"/>
    <w:rsid w:val="00D44E96"/>
    <w:rsid w:val="00D46C53"/>
    <w:rsid w:val="00D4720F"/>
    <w:rsid w:val="00D479C6"/>
    <w:rsid w:val="00D5283A"/>
    <w:rsid w:val="00D52D9D"/>
    <w:rsid w:val="00D551BD"/>
    <w:rsid w:val="00D555D8"/>
    <w:rsid w:val="00D61668"/>
    <w:rsid w:val="00D62C85"/>
    <w:rsid w:val="00D62CFE"/>
    <w:rsid w:val="00D64B79"/>
    <w:rsid w:val="00D67F20"/>
    <w:rsid w:val="00D7105D"/>
    <w:rsid w:val="00D726BA"/>
    <w:rsid w:val="00D7292B"/>
    <w:rsid w:val="00D72C08"/>
    <w:rsid w:val="00D7304D"/>
    <w:rsid w:val="00D73083"/>
    <w:rsid w:val="00D7325D"/>
    <w:rsid w:val="00D75BF7"/>
    <w:rsid w:val="00D76515"/>
    <w:rsid w:val="00D76A71"/>
    <w:rsid w:val="00D808F0"/>
    <w:rsid w:val="00D83549"/>
    <w:rsid w:val="00D84122"/>
    <w:rsid w:val="00D851FD"/>
    <w:rsid w:val="00D874D8"/>
    <w:rsid w:val="00D91C8A"/>
    <w:rsid w:val="00D92207"/>
    <w:rsid w:val="00D93224"/>
    <w:rsid w:val="00D95D10"/>
    <w:rsid w:val="00D976DB"/>
    <w:rsid w:val="00DA18DE"/>
    <w:rsid w:val="00DA2074"/>
    <w:rsid w:val="00DA21A2"/>
    <w:rsid w:val="00DA2592"/>
    <w:rsid w:val="00DA2ED4"/>
    <w:rsid w:val="00DA3077"/>
    <w:rsid w:val="00DA3818"/>
    <w:rsid w:val="00DA71FD"/>
    <w:rsid w:val="00DA7DBB"/>
    <w:rsid w:val="00DB0686"/>
    <w:rsid w:val="00DB07CC"/>
    <w:rsid w:val="00DB10C9"/>
    <w:rsid w:val="00DB1431"/>
    <w:rsid w:val="00DB22E0"/>
    <w:rsid w:val="00DB262A"/>
    <w:rsid w:val="00DB2DDA"/>
    <w:rsid w:val="00DB5D3D"/>
    <w:rsid w:val="00DB6B30"/>
    <w:rsid w:val="00DC0CCC"/>
    <w:rsid w:val="00DC14E7"/>
    <w:rsid w:val="00DC1E1C"/>
    <w:rsid w:val="00DC2459"/>
    <w:rsid w:val="00DC2590"/>
    <w:rsid w:val="00DC320C"/>
    <w:rsid w:val="00DC3326"/>
    <w:rsid w:val="00DC3B30"/>
    <w:rsid w:val="00DC57A8"/>
    <w:rsid w:val="00DC6A59"/>
    <w:rsid w:val="00DC79DE"/>
    <w:rsid w:val="00DD088F"/>
    <w:rsid w:val="00DD0F57"/>
    <w:rsid w:val="00DD21E4"/>
    <w:rsid w:val="00DD3234"/>
    <w:rsid w:val="00DD35AE"/>
    <w:rsid w:val="00DD3FA2"/>
    <w:rsid w:val="00DD4AE1"/>
    <w:rsid w:val="00DD5AE9"/>
    <w:rsid w:val="00DD62E4"/>
    <w:rsid w:val="00DE0474"/>
    <w:rsid w:val="00DE18A9"/>
    <w:rsid w:val="00DE21ED"/>
    <w:rsid w:val="00DE2594"/>
    <w:rsid w:val="00DE2CCD"/>
    <w:rsid w:val="00DE3C56"/>
    <w:rsid w:val="00DE4BC7"/>
    <w:rsid w:val="00DE52E8"/>
    <w:rsid w:val="00DE59F4"/>
    <w:rsid w:val="00DE5F15"/>
    <w:rsid w:val="00DE760C"/>
    <w:rsid w:val="00DF19B7"/>
    <w:rsid w:val="00DF2541"/>
    <w:rsid w:val="00DF2E6C"/>
    <w:rsid w:val="00DF31B8"/>
    <w:rsid w:val="00DF7612"/>
    <w:rsid w:val="00DF78EA"/>
    <w:rsid w:val="00E0153E"/>
    <w:rsid w:val="00E015AE"/>
    <w:rsid w:val="00E02716"/>
    <w:rsid w:val="00E029BA"/>
    <w:rsid w:val="00E03076"/>
    <w:rsid w:val="00E031BB"/>
    <w:rsid w:val="00E03CC2"/>
    <w:rsid w:val="00E0549A"/>
    <w:rsid w:val="00E06EFC"/>
    <w:rsid w:val="00E07AF3"/>
    <w:rsid w:val="00E10BD7"/>
    <w:rsid w:val="00E10E2A"/>
    <w:rsid w:val="00E116EC"/>
    <w:rsid w:val="00E11BD4"/>
    <w:rsid w:val="00E130E0"/>
    <w:rsid w:val="00E132F1"/>
    <w:rsid w:val="00E151C1"/>
    <w:rsid w:val="00E205A5"/>
    <w:rsid w:val="00E2388C"/>
    <w:rsid w:val="00E23A4C"/>
    <w:rsid w:val="00E24E8F"/>
    <w:rsid w:val="00E24F4F"/>
    <w:rsid w:val="00E261A2"/>
    <w:rsid w:val="00E270AF"/>
    <w:rsid w:val="00E27133"/>
    <w:rsid w:val="00E305A5"/>
    <w:rsid w:val="00E30CAB"/>
    <w:rsid w:val="00E31206"/>
    <w:rsid w:val="00E329DF"/>
    <w:rsid w:val="00E32EA2"/>
    <w:rsid w:val="00E34614"/>
    <w:rsid w:val="00E34C47"/>
    <w:rsid w:val="00E35E2D"/>
    <w:rsid w:val="00E35EB9"/>
    <w:rsid w:val="00E400B0"/>
    <w:rsid w:val="00E40393"/>
    <w:rsid w:val="00E408FB"/>
    <w:rsid w:val="00E40AC7"/>
    <w:rsid w:val="00E41230"/>
    <w:rsid w:val="00E41316"/>
    <w:rsid w:val="00E42D60"/>
    <w:rsid w:val="00E45AC3"/>
    <w:rsid w:val="00E46011"/>
    <w:rsid w:val="00E4718E"/>
    <w:rsid w:val="00E47985"/>
    <w:rsid w:val="00E50087"/>
    <w:rsid w:val="00E530CD"/>
    <w:rsid w:val="00E53C69"/>
    <w:rsid w:val="00E53ED0"/>
    <w:rsid w:val="00E541EB"/>
    <w:rsid w:val="00E55762"/>
    <w:rsid w:val="00E56026"/>
    <w:rsid w:val="00E57051"/>
    <w:rsid w:val="00E57858"/>
    <w:rsid w:val="00E57DA2"/>
    <w:rsid w:val="00E60BE8"/>
    <w:rsid w:val="00E6142D"/>
    <w:rsid w:val="00E61F8B"/>
    <w:rsid w:val="00E627EE"/>
    <w:rsid w:val="00E63323"/>
    <w:rsid w:val="00E63E33"/>
    <w:rsid w:val="00E6423A"/>
    <w:rsid w:val="00E712A8"/>
    <w:rsid w:val="00E7268A"/>
    <w:rsid w:val="00E731D6"/>
    <w:rsid w:val="00E7324A"/>
    <w:rsid w:val="00E737AA"/>
    <w:rsid w:val="00E75E77"/>
    <w:rsid w:val="00E76010"/>
    <w:rsid w:val="00E76045"/>
    <w:rsid w:val="00E762D5"/>
    <w:rsid w:val="00E76DED"/>
    <w:rsid w:val="00E80333"/>
    <w:rsid w:val="00E80E1D"/>
    <w:rsid w:val="00E81640"/>
    <w:rsid w:val="00E8213A"/>
    <w:rsid w:val="00E8260F"/>
    <w:rsid w:val="00E828B0"/>
    <w:rsid w:val="00E829DD"/>
    <w:rsid w:val="00E82EAE"/>
    <w:rsid w:val="00E83319"/>
    <w:rsid w:val="00E83507"/>
    <w:rsid w:val="00E845F6"/>
    <w:rsid w:val="00E85C44"/>
    <w:rsid w:val="00E86490"/>
    <w:rsid w:val="00E90548"/>
    <w:rsid w:val="00E905C8"/>
    <w:rsid w:val="00E91589"/>
    <w:rsid w:val="00E92566"/>
    <w:rsid w:val="00E92CAD"/>
    <w:rsid w:val="00E93943"/>
    <w:rsid w:val="00E9481A"/>
    <w:rsid w:val="00E95145"/>
    <w:rsid w:val="00EA1955"/>
    <w:rsid w:val="00EA19BD"/>
    <w:rsid w:val="00EA396A"/>
    <w:rsid w:val="00EA4BC0"/>
    <w:rsid w:val="00EA61E4"/>
    <w:rsid w:val="00EA7A76"/>
    <w:rsid w:val="00EB2457"/>
    <w:rsid w:val="00EB2D85"/>
    <w:rsid w:val="00EB4072"/>
    <w:rsid w:val="00EB45B2"/>
    <w:rsid w:val="00EB4BAD"/>
    <w:rsid w:val="00EB51A2"/>
    <w:rsid w:val="00EB6A3E"/>
    <w:rsid w:val="00EB6A70"/>
    <w:rsid w:val="00EB6F02"/>
    <w:rsid w:val="00EB715C"/>
    <w:rsid w:val="00EC0DDE"/>
    <w:rsid w:val="00EC2021"/>
    <w:rsid w:val="00EC2306"/>
    <w:rsid w:val="00EC2D4B"/>
    <w:rsid w:val="00EC4FC2"/>
    <w:rsid w:val="00EC55AF"/>
    <w:rsid w:val="00EC7277"/>
    <w:rsid w:val="00EC75E5"/>
    <w:rsid w:val="00ED004C"/>
    <w:rsid w:val="00ED0143"/>
    <w:rsid w:val="00ED0320"/>
    <w:rsid w:val="00ED3566"/>
    <w:rsid w:val="00ED52F4"/>
    <w:rsid w:val="00EE04B4"/>
    <w:rsid w:val="00EE0640"/>
    <w:rsid w:val="00EE132B"/>
    <w:rsid w:val="00EE2180"/>
    <w:rsid w:val="00EE2449"/>
    <w:rsid w:val="00EE2790"/>
    <w:rsid w:val="00EE46FC"/>
    <w:rsid w:val="00EE5C06"/>
    <w:rsid w:val="00EE5E18"/>
    <w:rsid w:val="00EE5F19"/>
    <w:rsid w:val="00EE6E90"/>
    <w:rsid w:val="00EE735B"/>
    <w:rsid w:val="00EE76DA"/>
    <w:rsid w:val="00EE7B55"/>
    <w:rsid w:val="00EF205D"/>
    <w:rsid w:val="00EF5D30"/>
    <w:rsid w:val="00EF793F"/>
    <w:rsid w:val="00F02051"/>
    <w:rsid w:val="00F0258F"/>
    <w:rsid w:val="00F02B68"/>
    <w:rsid w:val="00F03B78"/>
    <w:rsid w:val="00F03D3B"/>
    <w:rsid w:val="00F03F9C"/>
    <w:rsid w:val="00F05EE9"/>
    <w:rsid w:val="00F063BC"/>
    <w:rsid w:val="00F065AA"/>
    <w:rsid w:val="00F070CC"/>
    <w:rsid w:val="00F07F6E"/>
    <w:rsid w:val="00F1101C"/>
    <w:rsid w:val="00F13BED"/>
    <w:rsid w:val="00F144B1"/>
    <w:rsid w:val="00F1482A"/>
    <w:rsid w:val="00F1562B"/>
    <w:rsid w:val="00F15C65"/>
    <w:rsid w:val="00F170D1"/>
    <w:rsid w:val="00F21754"/>
    <w:rsid w:val="00F21948"/>
    <w:rsid w:val="00F2227F"/>
    <w:rsid w:val="00F23527"/>
    <w:rsid w:val="00F2366F"/>
    <w:rsid w:val="00F23FE4"/>
    <w:rsid w:val="00F242B5"/>
    <w:rsid w:val="00F24E77"/>
    <w:rsid w:val="00F254AE"/>
    <w:rsid w:val="00F26095"/>
    <w:rsid w:val="00F266A5"/>
    <w:rsid w:val="00F31123"/>
    <w:rsid w:val="00F31DD5"/>
    <w:rsid w:val="00F31E5E"/>
    <w:rsid w:val="00F32430"/>
    <w:rsid w:val="00F3264E"/>
    <w:rsid w:val="00F3533A"/>
    <w:rsid w:val="00F35581"/>
    <w:rsid w:val="00F4017A"/>
    <w:rsid w:val="00F402DD"/>
    <w:rsid w:val="00F41287"/>
    <w:rsid w:val="00F418B6"/>
    <w:rsid w:val="00F42A3F"/>
    <w:rsid w:val="00F446F1"/>
    <w:rsid w:val="00F46E99"/>
    <w:rsid w:val="00F50B28"/>
    <w:rsid w:val="00F5265D"/>
    <w:rsid w:val="00F54972"/>
    <w:rsid w:val="00F55475"/>
    <w:rsid w:val="00F55977"/>
    <w:rsid w:val="00F56179"/>
    <w:rsid w:val="00F5676E"/>
    <w:rsid w:val="00F614D6"/>
    <w:rsid w:val="00F620BA"/>
    <w:rsid w:val="00F62945"/>
    <w:rsid w:val="00F63663"/>
    <w:rsid w:val="00F63CF9"/>
    <w:rsid w:val="00F64AC6"/>
    <w:rsid w:val="00F657AE"/>
    <w:rsid w:val="00F6614E"/>
    <w:rsid w:val="00F706B8"/>
    <w:rsid w:val="00F7071B"/>
    <w:rsid w:val="00F7340A"/>
    <w:rsid w:val="00F738BB"/>
    <w:rsid w:val="00F7438C"/>
    <w:rsid w:val="00F750EF"/>
    <w:rsid w:val="00F77926"/>
    <w:rsid w:val="00F80F45"/>
    <w:rsid w:val="00F8116C"/>
    <w:rsid w:val="00F83258"/>
    <w:rsid w:val="00F84CE3"/>
    <w:rsid w:val="00F84CE6"/>
    <w:rsid w:val="00F84D91"/>
    <w:rsid w:val="00F86948"/>
    <w:rsid w:val="00F91054"/>
    <w:rsid w:val="00F92146"/>
    <w:rsid w:val="00F92C9C"/>
    <w:rsid w:val="00F932A5"/>
    <w:rsid w:val="00F936D5"/>
    <w:rsid w:val="00F93A3C"/>
    <w:rsid w:val="00F93F7A"/>
    <w:rsid w:val="00F945F8"/>
    <w:rsid w:val="00F95B54"/>
    <w:rsid w:val="00F95F65"/>
    <w:rsid w:val="00F9685F"/>
    <w:rsid w:val="00F97239"/>
    <w:rsid w:val="00FA0A3B"/>
    <w:rsid w:val="00FA1A2D"/>
    <w:rsid w:val="00FA1BF3"/>
    <w:rsid w:val="00FA27B4"/>
    <w:rsid w:val="00FA2D18"/>
    <w:rsid w:val="00FA3B36"/>
    <w:rsid w:val="00FA3BB6"/>
    <w:rsid w:val="00FA47AC"/>
    <w:rsid w:val="00FA607E"/>
    <w:rsid w:val="00FA7932"/>
    <w:rsid w:val="00FB0968"/>
    <w:rsid w:val="00FB17B4"/>
    <w:rsid w:val="00FB254F"/>
    <w:rsid w:val="00FB456D"/>
    <w:rsid w:val="00FB4EC8"/>
    <w:rsid w:val="00FB5E35"/>
    <w:rsid w:val="00FB610A"/>
    <w:rsid w:val="00FB7AE2"/>
    <w:rsid w:val="00FB7F87"/>
    <w:rsid w:val="00FC0022"/>
    <w:rsid w:val="00FC3212"/>
    <w:rsid w:val="00FC3A01"/>
    <w:rsid w:val="00FC4628"/>
    <w:rsid w:val="00FC4B73"/>
    <w:rsid w:val="00FC67B4"/>
    <w:rsid w:val="00FC740A"/>
    <w:rsid w:val="00FD0FFB"/>
    <w:rsid w:val="00FD1754"/>
    <w:rsid w:val="00FD1B70"/>
    <w:rsid w:val="00FD462E"/>
    <w:rsid w:val="00FD5A5C"/>
    <w:rsid w:val="00FD69B4"/>
    <w:rsid w:val="00FE031A"/>
    <w:rsid w:val="00FE0357"/>
    <w:rsid w:val="00FE0E87"/>
    <w:rsid w:val="00FE16C7"/>
    <w:rsid w:val="00FE3698"/>
    <w:rsid w:val="00FE3E19"/>
    <w:rsid w:val="00FE736F"/>
    <w:rsid w:val="00FF03F3"/>
    <w:rsid w:val="00FF0AD0"/>
    <w:rsid w:val="00FF113C"/>
    <w:rsid w:val="00FF1953"/>
    <w:rsid w:val="00FF2691"/>
    <w:rsid w:val="00FF5E78"/>
    <w:rsid w:val="00FF733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91A33"/>
  <w15:chartTrackingRefBased/>
  <w15:docId w15:val="{FD12B328-3EE0-498E-A402-DE4562391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529"/>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915A6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028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F5A8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E23A4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A62"/>
    <w:rPr>
      <w:rFonts w:asciiTheme="majorHAnsi" w:eastAsiaTheme="majorEastAsia" w:hAnsiTheme="majorHAnsi" w:cstheme="majorBidi"/>
      <w:color w:val="2F5496" w:themeColor="accent1" w:themeShade="BF"/>
      <w:sz w:val="32"/>
      <w:szCs w:val="32"/>
      <w:lang w:val="en-US" w:eastAsia="en-GB"/>
    </w:rPr>
  </w:style>
  <w:style w:type="character" w:styleId="CommentReference">
    <w:name w:val="annotation reference"/>
    <w:basedOn w:val="DefaultParagraphFont"/>
    <w:uiPriority w:val="99"/>
    <w:semiHidden/>
    <w:unhideWhenUsed/>
    <w:rsid w:val="00915A62"/>
    <w:rPr>
      <w:sz w:val="16"/>
      <w:szCs w:val="16"/>
    </w:rPr>
  </w:style>
  <w:style w:type="paragraph" w:styleId="CommentText">
    <w:name w:val="annotation text"/>
    <w:basedOn w:val="Normal"/>
    <w:link w:val="CommentTextChar"/>
    <w:uiPriority w:val="99"/>
    <w:unhideWhenUsed/>
    <w:rsid w:val="00915A62"/>
    <w:rPr>
      <w:sz w:val="20"/>
      <w:szCs w:val="20"/>
    </w:rPr>
  </w:style>
  <w:style w:type="character" w:customStyle="1" w:styleId="CommentTextChar">
    <w:name w:val="Comment Text Char"/>
    <w:basedOn w:val="DefaultParagraphFont"/>
    <w:link w:val="CommentText"/>
    <w:uiPriority w:val="99"/>
    <w:rsid w:val="00915A62"/>
    <w:rPr>
      <w:rFonts w:ascii="Calibri" w:eastAsia="Calibri" w:hAnsi="Calibri" w:cs="Calibri"/>
      <w:sz w:val="20"/>
      <w:szCs w:val="20"/>
      <w:lang w:val="en-US" w:eastAsia="en-GB"/>
    </w:rPr>
  </w:style>
  <w:style w:type="paragraph" w:styleId="Caption">
    <w:name w:val="caption"/>
    <w:basedOn w:val="Normal"/>
    <w:next w:val="Normal"/>
    <w:link w:val="CaptionChar"/>
    <w:uiPriority w:val="99"/>
    <w:unhideWhenUsed/>
    <w:qFormat/>
    <w:rsid w:val="00915A62"/>
    <w:pPr>
      <w:spacing w:after="200"/>
    </w:pPr>
    <w:rPr>
      <w:b/>
      <w:bCs/>
      <w:color w:val="4F81BD"/>
      <w:sz w:val="18"/>
      <w:szCs w:val="18"/>
    </w:rPr>
  </w:style>
  <w:style w:type="paragraph" w:styleId="BalloonText">
    <w:name w:val="Balloon Text"/>
    <w:basedOn w:val="Normal"/>
    <w:link w:val="BalloonTextChar"/>
    <w:uiPriority w:val="99"/>
    <w:semiHidden/>
    <w:unhideWhenUsed/>
    <w:rsid w:val="00915A62"/>
    <w:rPr>
      <w:sz w:val="18"/>
      <w:szCs w:val="18"/>
    </w:rPr>
  </w:style>
  <w:style w:type="character" w:customStyle="1" w:styleId="BalloonTextChar">
    <w:name w:val="Balloon Text Char"/>
    <w:basedOn w:val="DefaultParagraphFont"/>
    <w:link w:val="BalloonText"/>
    <w:uiPriority w:val="99"/>
    <w:semiHidden/>
    <w:rsid w:val="00915A62"/>
    <w:rPr>
      <w:rFonts w:ascii="Times New Roman" w:eastAsia="Calibri" w:hAnsi="Times New Roman" w:cs="Times New Roman"/>
      <w:sz w:val="18"/>
      <w:szCs w:val="18"/>
      <w:lang w:val="en-US" w:eastAsia="en-GB"/>
    </w:rPr>
  </w:style>
  <w:style w:type="paragraph" w:styleId="CommentSubject">
    <w:name w:val="annotation subject"/>
    <w:basedOn w:val="CommentText"/>
    <w:next w:val="CommentText"/>
    <w:link w:val="CommentSubjectChar"/>
    <w:uiPriority w:val="99"/>
    <w:semiHidden/>
    <w:unhideWhenUsed/>
    <w:rsid w:val="00BD0B25"/>
    <w:rPr>
      <w:b/>
      <w:bCs/>
    </w:rPr>
  </w:style>
  <w:style w:type="character" w:customStyle="1" w:styleId="CommentSubjectChar">
    <w:name w:val="Comment Subject Char"/>
    <w:basedOn w:val="CommentTextChar"/>
    <w:link w:val="CommentSubject"/>
    <w:uiPriority w:val="99"/>
    <w:semiHidden/>
    <w:rsid w:val="00BD0B25"/>
    <w:rPr>
      <w:rFonts w:ascii="Calibri" w:eastAsia="Calibri" w:hAnsi="Calibri" w:cs="Calibri"/>
      <w:b/>
      <w:bCs/>
      <w:sz w:val="20"/>
      <w:szCs w:val="20"/>
      <w:lang w:val="en-US" w:eastAsia="en-GB"/>
    </w:rPr>
  </w:style>
  <w:style w:type="paragraph" w:styleId="NormalWeb">
    <w:name w:val="Normal (Web)"/>
    <w:basedOn w:val="Normal"/>
    <w:uiPriority w:val="99"/>
    <w:unhideWhenUsed/>
    <w:rsid w:val="00495F12"/>
    <w:pPr>
      <w:spacing w:before="100" w:beforeAutospacing="1" w:after="100" w:afterAutospacing="1"/>
    </w:pPr>
    <w:rPr>
      <w:lang w:eastAsia="it-IT"/>
    </w:rPr>
  </w:style>
  <w:style w:type="character" w:customStyle="1" w:styleId="uiqtextrenderedqtext">
    <w:name w:val="ui_qtext_rendered_qtext"/>
    <w:basedOn w:val="DefaultParagraphFont"/>
    <w:rsid w:val="00F657AE"/>
  </w:style>
  <w:style w:type="character" w:customStyle="1" w:styleId="Heading2Char">
    <w:name w:val="Heading 2 Char"/>
    <w:basedOn w:val="DefaultParagraphFont"/>
    <w:link w:val="Heading2"/>
    <w:uiPriority w:val="9"/>
    <w:rsid w:val="0047028B"/>
    <w:rPr>
      <w:rFonts w:asciiTheme="majorHAnsi" w:eastAsiaTheme="majorEastAsia" w:hAnsiTheme="majorHAnsi" w:cstheme="majorBidi"/>
      <w:color w:val="2F5496" w:themeColor="accent1" w:themeShade="BF"/>
      <w:sz w:val="26"/>
      <w:szCs w:val="26"/>
      <w:lang w:val="en-US" w:eastAsia="en-GB"/>
    </w:rPr>
  </w:style>
  <w:style w:type="paragraph" w:styleId="ListParagraph">
    <w:name w:val="List Paragraph"/>
    <w:basedOn w:val="Normal"/>
    <w:uiPriority w:val="99"/>
    <w:qFormat/>
    <w:rsid w:val="0047028B"/>
    <w:pPr>
      <w:ind w:left="720"/>
      <w:contextualSpacing/>
    </w:pPr>
    <w:rPr>
      <w:rFonts w:eastAsiaTheme="minorHAnsi" w:cstheme="minorBidi"/>
      <w:sz w:val="20"/>
      <w:lang w:eastAsia="en-US"/>
    </w:rPr>
  </w:style>
  <w:style w:type="paragraph" w:styleId="Title">
    <w:name w:val="Title"/>
    <w:basedOn w:val="Normal"/>
    <w:next w:val="Normal"/>
    <w:link w:val="TitleChar"/>
    <w:uiPriority w:val="10"/>
    <w:qFormat/>
    <w:rsid w:val="0047028B"/>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47028B"/>
    <w:rPr>
      <w:rFonts w:asciiTheme="majorHAnsi" w:eastAsiaTheme="majorEastAsia" w:hAnsiTheme="majorHAnsi" w:cstheme="majorBidi"/>
      <w:spacing w:val="-10"/>
      <w:kern w:val="28"/>
      <w:sz w:val="56"/>
      <w:szCs w:val="56"/>
      <w:lang w:val="en-US"/>
    </w:rPr>
  </w:style>
  <w:style w:type="paragraph" w:customStyle="1" w:styleId="Ugo">
    <w:name w:val="Ugo"/>
    <w:basedOn w:val="Normal"/>
    <w:qFormat/>
    <w:rsid w:val="0047028B"/>
    <w:pPr>
      <w:shd w:val="clear" w:color="auto" w:fill="FFFFFF"/>
    </w:pPr>
    <w:rPr>
      <w:rFonts w:ascii="Cambria" w:hAnsi="Cambria" w:cs="Arial"/>
      <w:color w:val="222222"/>
      <w:lang w:eastAsia="it-IT"/>
    </w:rPr>
  </w:style>
  <w:style w:type="paragraph" w:styleId="Revision">
    <w:name w:val="Revision"/>
    <w:hidden/>
    <w:uiPriority w:val="99"/>
    <w:semiHidden/>
    <w:rsid w:val="00E57DA2"/>
    <w:rPr>
      <w:rFonts w:ascii="Calibri" w:eastAsia="Calibri" w:hAnsi="Calibri" w:cs="Calibri"/>
      <w:lang w:val="en-US" w:eastAsia="en-GB"/>
    </w:rPr>
  </w:style>
  <w:style w:type="paragraph" w:styleId="Footer">
    <w:name w:val="footer"/>
    <w:basedOn w:val="Normal"/>
    <w:link w:val="FooterChar"/>
    <w:uiPriority w:val="99"/>
    <w:unhideWhenUsed/>
    <w:rsid w:val="00E82EAE"/>
    <w:pPr>
      <w:tabs>
        <w:tab w:val="center" w:pos="4513"/>
        <w:tab w:val="right" w:pos="9026"/>
      </w:tabs>
    </w:pPr>
  </w:style>
  <w:style w:type="character" w:customStyle="1" w:styleId="FooterChar">
    <w:name w:val="Footer Char"/>
    <w:basedOn w:val="DefaultParagraphFont"/>
    <w:link w:val="Footer"/>
    <w:uiPriority w:val="99"/>
    <w:rsid w:val="00E82EAE"/>
    <w:rPr>
      <w:rFonts w:ascii="Calibri" w:eastAsia="Calibri" w:hAnsi="Calibri" w:cs="Calibri"/>
      <w:lang w:val="en-US" w:eastAsia="en-GB"/>
    </w:rPr>
  </w:style>
  <w:style w:type="character" w:styleId="PageNumber">
    <w:name w:val="page number"/>
    <w:basedOn w:val="DefaultParagraphFont"/>
    <w:uiPriority w:val="99"/>
    <w:semiHidden/>
    <w:unhideWhenUsed/>
    <w:rsid w:val="00E82EAE"/>
  </w:style>
  <w:style w:type="character" w:customStyle="1" w:styleId="Heading3Char">
    <w:name w:val="Heading 3 Char"/>
    <w:basedOn w:val="DefaultParagraphFont"/>
    <w:link w:val="Heading3"/>
    <w:uiPriority w:val="9"/>
    <w:rsid w:val="009F5A89"/>
    <w:rPr>
      <w:rFonts w:asciiTheme="majorHAnsi" w:eastAsiaTheme="majorEastAsia" w:hAnsiTheme="majorHAnsi" w:cstheme="majorBidi"/>
      <w:color w:val="1F3763" w:themeColor="accent1" w:themeShade="7F"/>
      <w:lang w:val="en-US" w:eastAsia="en-GB"/>
    </w:rPr>
  </w:style>
  <w:style w:type="paragraph" w:styleId="Header">
    <w:name w:val="header"/>
    <w:basedOn w:val="Normal"/>
    <w:link w:val="HeaderChar"/>
    <w:uiPriority w:val="99"/>
    <w:unhideWhenUsed/>
    <w:rsid w:val="00A234F1"/>
    <w:pPr>
      <w:tabs>
        <w:tab w:val="center" w:pos="4819"/>
        <w:tab w:val="right" w:pos="9638"/>
      </w:tabs>
    </w:pPr>
  </w:style>
  <w:style w:type="character" w:customStyle="1" w:styleId="HeaderChar">
    <w:name w:val="Header Char"/>
    <w:basedOn w:val="DefaultParagraphFont"/>
    <w:link w:val="Header"/>
    <w:uiPriority w:val="99"/>
    <w:rsid w:val="00A234F1"/>
    <w:rPr>
      <w:rFonts w:ascii="Calibri" w:eastAsia="Calibri" w:hAnsi="Calibri" w:cs="Calibri"/>
      <w:lang w:val="en-US" w:eastAsia="en-GB"/>
    </w:rPr>
  </w:style>
  <w:style w:type="character" w:customStyle="1" w:styleId="apple-converted-space">
    <w:name w:val="apple-converted-space"/>
    <w:basedOn w:val="DefaultParagraphFont"/>
    <w:rsid w:val="009848DA"/>
  </w:style>
  <w:style w:type="paragraph" w:customStyle="1" w:styleId="PlainText1">
    <w:name w:val="Plain Text1"/>
    <w:basedOn w:val="Normal"/>
    <w:rsid w:val="00231E55"/>
    <w:pPr>
      <w:suppressAutoHyphens/>
      <w:ind w:left="57"/>
    </w:pPr>
    <w:rPr>
      <w:rFonts w:ascii="Courier New" w:hAnsi="Courier New" w:cs="Courier New"/>
      <w:sz w:val="20"/>
      <w:szCs w:val="20"/>
      <w:lang w:val="en-US" w:eastAsia="zh-CN"/>
    </w:rPr>
  </w:style>
  <w:style w:type="table" w:styleId="PlainTable3">
    <w:name w:val="Plain Table 3"/>
    <w:basedOn w:val="TableNormal"/>
    <w:uiPriority w:val="43"/>
    <w:rsid w:val="0098167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33400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ptionChar">
    <w:name w:val="Caption Char"/>
    <w:basedOn w:val="DefaultParagraphFont"/>
    <w:link w:val="Caption"/>
    <w:uiPriority w:val="99"/>
    <w:rsid w:val="00A52982"/>
    <w:rPr>
      <w:rFonts w:ascii="Times New Roman" w:eastAsia="Times New Roman" w:hAnsi="Times New Roman" w:cs="Times New Roman"/>
      <w:b/>
      <w:bCs/>
      <w:color w:val="4F81BD"/>
      <w:sz w:val="18"/>
      <w:szCs w:val="18"/>
      <w:lang w:eastAsia="en-GB"/>
    </w:rPr>
  </w:style>
  <w:style w:type="table" w:styleId="PlainTable5">
    <w:name w:val="Plain Table 5"/>
    <w:basedOn w:val="TableNormal"/>
    <w:uiPriority w:val="45"/>
    <w:rsid w:val="00C27B0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unhideWhenUsed/>
    <w:rsid w:val="003E3525"/>
    <w:rPr>
      <w:color w:val="2B579A"/>
      <w:shd w:val="clear" w:color="auto" w:fill="E1DFDD"/>
    </w:rPr>
  </w:style>
  <w:style w:type="paragraph" w:styleId="ListNumber3">
    <w:name w:val="List Number 3"/>
    <w:basedOn w:val="Normal"/>
    <w:uiPriority w:val="99"/>
    <w:semiHidden/>
    <w:rsid w:val="002B0A39"/>
    <w:pPr>
      <w:numPr>
        <w:numId w:val="11"/>
      </w:numPr>
      <w:spacing w:after="120" w:line="480" w:lineRule="auto"/>
      <w:jc w:val="both"/>
    </w:pPr>
    <w:rPr>
      <w:rFonts w:ascii="Helvetica" w:hAnsi="Helvetica"/>
      <w:sz w:val="20"/>
      <w:szCs w:val="20"/>
      <w:lang w:val="en-US" w:eastAsia="en-US"/>
    </w:rPr>
  </w:style>
  <w:style w:type="paragraph" w:styleId="Bibliography">
    <w:name w:val="Bibliography"/>
    <w:basedOn w:val="Normal"/>
    <w:next w:val="Normal"/>
    <w:uiPriority w:val="37"/>
    <w:unhideWhenUsed/>
    <w:rsid w:val="00011C93"/>
    <w:pPr>
      <w:tabs>
        <w:tab w:val="left" w:pos="264"/>
      </w:tabs>
      <w:spacing w:line="480" w:lineRule="auto"/>
      <w:ind w:left="264" w:hanging="264"/>
    </w:pPr>
  </w:style>
  <w:style w:type="character" w:customStyle="1" w:styleId="Heading4Char">
    <w:name w:val="Heading 4 Char"/>
    <w:basedOn w:val="DefaultParagraphFont"/>
    <w:link w:val="Heading4"/>
    <w:uiPriority w:val="9"/>
    <w:semiHidden/>
    <w:rsid w:val="00E23A4C"/>
    <w:rPr>
      <w:rFonts w:asciiTheme="majorHAnsi" w:eastAsiaTheme="majorEastAsia" w:hAnsiTheme="majorHAnsi" w:cstheme="majorBidi"/>
      <w:i/>
      <w:iCs/>
      <w:color w:val="2F5496" w:themeColor="accent1" w:themeShade="BF"/>
      <w:lang w:eastAsia="en-GB"/>
    </w:rPr>
  </w:style>
  <w:style w:type="character" w:styleId="PlaceholderText">
    <w:name w:val="Placeholder Text"/>
    <w:basedOn w:val="DefaultParagraphFont"/>
    <w:uiPriority w:val="99"/>
    <w:semiHidden/>
    <w:rsid w:val="000B363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11907">
      <w:bodyDiv w:val="1"/>
      <w:marLeft w:val="0"/>
      <w:marRight w:val="0"/>
      <w:marTop w:val="0"/>
      <w:marBottom w:val="0"/>
      <w:divBdr>
        <w:top w:val="none" w:sz="0" w:space="0" w:color="auto"/>
        <w:left w:val="none" w:sz="0" w:space="0" w:color="auto"/>
        <w:bottom w:val="none" w:sz="0" w:space="0" w:color="auto"/>
        <w:right w:val="none" w:sz="0" w:space="0" w:color="auto"/>
      </w:divBdr>
    </w:div>
    <w:div w:id="109055106">
      <w:bodyDiv w:val="1"/>
      <w:marLeft w:val="0"/>
      <w:marRight w:val="0"/>
      <w:marTop w:val="0"/>
      <w:marBottom w:val="0"/>
      <w:divBdr>
        <w:top w:val="none" w:sz="0" w:space="0" w:color="auto"/>
        <w:left w:val="none" w:sz="0" w:space="0" w:color="auto"/>
        <w:bottom w:val="none" w:sz="0" w:space="0" w:color="auto"/>
        <w:right w:val="none" w:sz="0" w:space="0" w:color="auto"/>
      </w:divBdr>
    </w:div>
    <w:div w:id="178546100">
      <w:bodyDiv w:val="1"/>
      <w:marLeft w:val="0"/>
      <w:marRight w:val="0"/>
      <w:marTop w:val="0"/>
      <w:marBottom w:val="0"/>
      <w:divBdr>
        <w:top w:val="none" w:sz="0" w:space="0" w:color="auto"/>
        <w:left w:val="none" w:sz="0" w:space="0" w:color="auto"/>
        <w:bottom w:val="none" w:sz="0" w:space="0" w:color="auto"/>
        <w:right w:val="none" w:sz="0" w:space="0" w:color="auto"/>
      </w:divBdr>
    </w:div>
    <w:div w:id="220943725">
      <w:bodyDiv w:val="1"/>
      <w:marLeft w:val="0"/>
      <w:marRight w:val="0"/>
      <w:marTop w:val="0"/>
      <w:marBottom w:val="0"/>
      <w:divBdr>
        <w:top w:val="none" w:sz="0" w:space="0" w:color="auto"/>
        <w:left w:val="none" w:sz="0" w:space="0" w:color="auto"/>
        <w:bottom w:val="none" w:sz="0" w:space="0" w:color="auto"/>
        <w:right w:val="none" w:sz="0" w:space="0" w:color="auto"/>
      </w:divBdr>
    </w:div>
    <w:div w:id="222453497">
      <w:bodyDiv w:val="1"/>
      <w:marLeft w:val="0"/>
      <w:marRight w:val="0"/>
      <w:marTop w:val="0"/>
      <w:marBottom w:val="0"/>
      <w:divBdr>
        <w:top w:val="none" w:sz="0" w:space="0" w:color="auto"/>
        <w:left w:val="none" w:sz="0" w:space="0" w:color="auto"/>
        <w:bottom w:val="none" w:sz="0" w:space="0" w:color="auto"/>
        <w:right w:val="none" w:sz="0" w:space="0" w:color="auto"/>
      </w:divBdr>
    </w:div>
    <w:div w:id="251479371">
      <w:bodyDiv w:val="1"/>
      <w:marLeft w:val="0"/>
      <w:marRight w:val="0"/>
      <w:marTop w:val="0"/>
      <w:marBottom w:val="0"/>
      <w:divBdr>
        <w:top w:val="none" w:sz="0" w:space="0" w:color="auto"/>
        <w:left w:val="none" w:sz="0" w:space="0" w:color="auto"/>
        <w:bottom w:val="none" w:sz="0" w:space="0" w:color="auto"/>
        <w:right w:val="none" w:sz="0" w:space="0" w:color="auto"/>
      </w:divBdr>
    </w:div>
    <w:div w:id="292176499">
      <w:bodyDiv w:val="1"/>
      <w:marLeft w:val="0"/>
      <w:marRight w:val="0"/>
      <w:marTop w:val="0"/>
      <w:marBottom w:val="0"/>
      <w:divBdr>
        <w:top w:val="none" w:sz="0" w:space="0" w:color="auto"/>
        <w:left w:val="none" w:sz="0" w:space="0" w:color="auto"/>
        <w:bottom w:val="none" w:sz="0" w:space="0" w:color="auto"/>
        <w:right w:val="none" w:sz="0" w:space="0" w:color="auto"/>
      </w:divBdr>
    </w:div>
    <w:div w:id="470170680">
      <w:bodyDiv w:val="1"/>
      <w:marLeft w:val="0"/>
      <w:marRight w:val="0"/>
      <w:marTop w:val="0"/>
      <w:marBottom w:val="0"/>
      <w:divBdr>
        <w:top w:val="none" w:sz="0" w:space="0" w:color="auto"/>
        <w:left w:val="none" w:sz="0" w:space="0" w:color="auto"/>
        <w:bottom w:val="none" w:sz="0" w:space="0" w:color="auto"/>
        <w:right w:val="none" w:sz="0" w:space="0" w:color="auto"/>
      </w:divBdr>
    </w:div>
    <w:div w:id="487670482">
      <w:bodyDiv w:val="1"/>
      <w:marLeft w:val="0"/>
      <w:marRight w:val="0"/>
      <w:marTop w:val="0"/>
      <w:marBottom w:val="0"/>
      <w:divBdr>
        <w:top w:val="none" w:sz="0" w:space="0" w:color="auto"/>
        <w:left w:val="none" w:sz="0" w:space="0" w:color="auto"/>
        <w:bottom w:val="none" w:sz="0" w:space="0" w:color="auto"/>
        <w:right w:val="none" w:sz="0" w:space="0" w:color="auto"/>
      </w:divBdr>
    </w:div>
    <w:div w:id="521405873">
      <w:bodyDiv w:val="1"/>
      <w:marLeft w:val="0"/>
      <w:marRight w:val="0"/>
      <w:marTop w:val="0"/>
      <w:marBottom w:val="0"/>
      <w:divBdr>
        <w:top w:val="none" w:sz="0" w:space="0" w:color="auto"/>
        <w:left w:val="none" w:sz="0" w:space="0" w:color="auto"/>
        <w:bottom w:val="none" w:sz="0" w:space="0" w:color="auto"/>
        <w:right w:val="none" w:sz="0" w:space="0" w:color="auto"/>
      </w:divBdr>
    </w:div>
    <w:div w:id="525992464">
      <w:bodyDiv w:val="1"/>
      <w:marLeft w:val="0"/>
      <w:marRight w:val="0"/>
      <w:marTop w:val="0"/>
      <w:marBottom w:val="0"/>
      <w:divBdr>
        <w:top w:val="none" w:sz="0" w:space="0" w:color="auto"/>
        <w:left w:val="none" w:sz="0" w:space="0" w:color="auto"/>
        <w:bottom w:val="none" w:sz="0" w:space="0" w:color="auto"/>
        <w:right w:val="none" w:sz="0" w:space="0" w:color="auto"/>
      </w:divBdr>
    </w:div>
    <w:div w:id="812330838">
      <w:bodyDiv w:val="1"/>
      <w:marLeft w:val="0"/>
      <w:marRight w:val="0"/>
      <w:marTop w:val="0"/>
      <w:marBottom w:val="0"/>
      <w:divBdr>
        <w:top w:val="none" w:sz="0" w:space="0" w:color="auto"/>
        <w:left w:val="none" w:sz="0" w:space="0" w:color="auto"/>
        <w:bottom w:val="none" w:sz="0" w:space="0" w:color="auto"/>
        <w:right w:val="none" w:sz="0" w:space="0" w:color="auto"/>
      </w:divBdr>
    </w:div>
    <w:div w:id="844244600">
      <w:bodyDiv w:val="1"/>
      <w:marLeft w:val="0"/>
      <w:marRight w:val="0"/>
      <w:marTop w:val="0"/>
      <w:marBottom w:val="0"/>
      <w:divBdr>
        <w:top w:val="none" w:sz="0" w:space="0" w:color="auto"/>
        <w:left w:val="none" w:sz="0" w:space="0" w:color="auto"/>
        <w:bottom w:val="none" w:sz="0" w:space="0" w:color="auto"/>
        <w:right w:val="none" w:sz="0" w:space="0" w:color="auto"/>
      </w:divBdr>
    </w:div>
    <w:div w:id="996307407">
      <w:bodyDiv w:val="1"/>
      <w:marLeft w:val="0"/>
      <w:marRight w:val="0"/>
      <w:marTop w:val="0"/>
      <w:marBottom w:val="0"/>
      <w:divBdr>
        <w:top w:val="none" w:sz="0" w:space="0" w:color="auto"/>
        <w:left w:val="none" w:sz="0" w:space="0" w:color="auto"/>
        <w:bottom w:val="none" w:sz="0" w:space="0" w:color="auto"/>
        <w:right w:val="none" w:sz="0" w:space="0" w:color="auto"/>
      </w:divBdr>
    </w:div>
    <w:div w:id="1046485236">
      <w:bodyDiv w:val="1"/>
      <w:marLeft w:val="0"/>
      <w:marRight w:val="0"/>
      <w:marTop w:val="0"/>
      <w:marBottom w:val="0"/>
      <w:divBdr>
        <w:top w:val="none" w:sz="0" w:space="0" w:color="auto"/>
        <w:left w:val="none" w:sz="0" w:space="0" w:color="auto"/>
        <w:bottom w:val="none" w:sz="0" w:space="0" w:color="auto"/>
        <w:right w:val="none" w:sz="0" w:space="0" w:color="auto"/>
      </w:divBdr>
    </w:div>
    <w:div w:id="1261333491">
      <w:bodyDiv w:val="1"/>
      <w:marLeft w:val="0"/>
      <w:marRight w:val="0"/>
      <w:marTop w:val="0"/>
      <w:marBottom w:val="0"/>
      <w:divBdr>
        <w:top w:val="none" w:sz="0" w:space="0" w:color="auto"/>
        <w:left w:val="none" w:sz="0" w:space="0" w:color="auto"/>
        <w:bottom w:val="none" w:sz="0" w:space="0" w:color="auto"/>
        <w:right w:val="none" w:sz="0" w:space="0" w:color="auto"/>
      </w:divBdr>
    </w:div>
    <w:div w:id="1282107951">
      <w:bodyDiv w:val="1"/>
      <w:marLeft w:val="0"/>
      <w:marRight w:val="0"/>
      <w:marTop w:val="0"/>
      <w:marBottom w:val="0"/>
      <w:divBdr>
        <w:top w:val="none" w:sz="0" w:space="0" w:color="auto"/>
        <w:left w:val="none" w:sz="0" w:space="0" w:color="auto"/>
        <w:bottom w:val="none" w:sz="0" w:space="0" w:color="auto"/>
        <w:right w:val="none" w:sz="0" w:space="0" w:color="auto"/>
      </w:divBdr>
    </w:div>
    <w:div w:id="1285430351">
      <w:bodyDiv w:val="1"/>
      <w:marLeft w:val="0"/>
      <w:marRight w:val="0"/>
      <w:marTop w:val="0"/>
      <w:marBottom w:val="0"/>
      <w:divBdr>
        <w:top w:val="none" w:sz="0" w:space="0" w:color="auto"/>
        <w:left w:val="none" w:sz="0" w:space="0" w:color="auto"/>
        <w:bottom w:val="none" w:sz="0" w:space="0" w:color="auto"/>
        <w:right w:val="none" w:sz="0" w:space="0" w:color="auto"/>
      </w:divBdr>
    </w:div>
    <w:div w:id="1301225813">
      <w:bodyDiv w:val="1"/>
      <w:marLeft w:val="0"/>
      <w:marRight w:val="0"/>
      <w:marTop w:val="0"/>
      <w:marBottom w:val="0"/>
      <w:divBdr>
        <w:top w:val="none" w:sz="0" w:space="0" w:color="auto"/>
        <w:left w:val="none" w:sz="0" w:space="0" w:color="auto"/>
        <w:bottom w:val="none" w:sz="0" w:space="0" w:color="auto"/>
        <w:right w:val="none" w:sz="0" w:space="0" w:color="auto"/>
      </w:divBdr>
    </w:div>
    <w:div w:id="1306348259">
      <w:bodyDiv w:val="1"/>
      <w:marLeft w:val="0"/>
      <w:marRight w:val="0"/>
      <w:marTop w:val="0"/>
      <w:marBottom w:val="0"/>
      <w:divBdr>
        <w:top w:val="none" w:sz="0" w:space="0" w:color="auto"/>
        <w:left w:val="none" w:sz="0" w:space="0" w:color="auto"/>
        <w:bottom w:val="none" w:sz="0" w:space="0" w:color="auto"/>
        <w:right w:val="none" w:sz="0" w:space="0" w:color="auto"/>
      </w:divBdr>
    </w:div>
    <w:div w:id="1324090322">
      <w:bodyDiv w:val="1"/>
      <w:marLeft w:val="0"/>
      <w:marRight w:val="0"/>
      <w:marTop w:val="0"/>
      <w:marBottom w:val="0"/>
      <w:divBdr>
        <w:top w:val="none" w:sz="0" w:space="0" w:color="auto"/>
        <w:left w:val="none" w:sz="0" w:space="0" w:color="auto"/>
        <w:bottom w:val="none" w:sz="0" w:space="0" w:color="auto"/>
        <w:right w:val="none" w:sz="0" w:space="0" w:color="auto"/>
      </w:divBdr>
    </w:div>
    <w:div w:id="1383141413">
      <w:bodyDiv w:val="1"/>
      <w:marLeft w:val="0"/>
      <w:marRight w:val="0"/>
      <w:marTop w:val="0"/>
      <w:marBottom w:val="0"/>
      <w:divBdr>
        <w:top w:val="none" w:sz="0" w:space="0" w:color="auto"/>
        <w:left w:val="none" w:sz="0" w:space="0" w:color="auto"/>
        <w:bottom w:val="none" w:sz="0" w:space="0" w:color="auto"/>
        <w:right w:val="none" w:sz="0" w:space="0" w:color="auto"/>
      </w:divBdr>
    </w:div>
    <w:div w:id="1511331561">
      <w:bodyDiv w:val="1"/>
      <w:marLeft w:val="0"/>
      <w:marRight w:val="0"/>
      <w:marTop w:val="0"/>
      <w:marBottom w:val="0"/>
      <w:divBdr>
        <w:top w:val="none" w:sz="0" w:space="0" w:color="auto"/>
        <w:left w:val="none" w:sz="0" w:space="0" w:color="auto"/>
        <w:bottom w:val="none" w:sz="0" w:space="0" w:color="auto"/>
        <w:right w:val="none" w:sz="0" w:space="0" w:color="auto"/>
      </w:divBdr>
    </w:div>
    <w:div w:id="1519007322">
      <w:bodyDiv w:val="1"/>
      <w:marLeft w:val="0"/>
      <w:marRight w:val="0"/>
      <w:marTop w:val="0"/>
      <w:marBottom w:val="0"/>
      <w:divBdr>
        <w:top w:val="none" w:sz="0" w:space="0" w:color="auto"/>
        <w:left w:val="none" w:sz="0" w:space="0" w:color="auto"/>
        <w:bottom w:val="none" w:sz="0" w:space="0" w:color="auto"/>
        <w:right w:val="none" w:sz="0" w:space="0" w:color="auto"/>
      </w:divBdr>
    </w:div>
    <w:div w:id="1587767185">
      <w:bodyDiv w:val="1"/>
      <w:marLeft w:val="0"/>
      <w:marRight w:val="0"/>
      <w:marTop w:val="0"/>
      <w:marBottom w:val="0"/>
      <w:divBdr>
        <w:top w:val="none" w:sz="0" w:space="0" w:color="auto"/>
        <w:left w:val="none" w:sz="0" w:space="0" w:color="auto"/>
        <w:bottom w:val="none" w:sz="0" w:space="0" w:color="auto"/>
        <w:right w:val="none" w:sz="0" w:space="0" w:color="auto"/>
      </w:divBdr>
    </w:div>
    <w:div w:id="1609848986">
      <w:bodyDiv w:val="1"/>
      <w:marLeft w:val="0"/>
      <w:marRight w:val="0"/>
      <w:marTop w:val="0"/>
      <w:marBottom w:val="0"/>
      <w:divBdr>
        <w:top w:val="none" w:sz="0" w:space="0" w:color="auto"/>
        <w:left w:val="none" w:sz="0" w:space="0" w:color="auto"/>
        <w:bottom w:val="none" w:sz="0" w:space="0" w:color="auto"/>
        <w:right w:val="none" w:sz="0" w:space="0" w:color="auto"/>
      </w:divBdr>
    </w:div>
    <w:div w:id="1642226612">
      <w:bodyDiv w:val="1"/>
      <w:marLeft w:val="0"/>
      <w:marRight w:val="0"/>
      <w:marTop w:val="0"/>
      <w:marBottom w:val="0"/>
      <w:divBdr>
        <w:top w:val="none" w:sz="0" w:space="0" w:color="auto"/>
        <w:left w:val="none" w:sz="0" w:space="0" w:color="auto"/>
        <w:bottom w:val="none" w:sz="0" w:space="0" w:color="auto"/>
        <w:right w:val="none" w:sz="0" w:space="0" w:color="auto"/>
      </w:divBdr>
    </w:div>
    <w:div w:id="1651397438">
      <w:bodyDiv w:val="1"/>
      <w:marLeft w:val="0"/>
      <w:marRight w:val="0"/>
      <w:marTop w:val="0"/>
      <w:marBottom w:val="0"/>
      <w:divBdr>
        <w:top w:val="none" w:sz="0" w:space="0" w:color="auto"/>
        <w:left w:val="none" w:sz="0" w:space="0" w:color="auto"/>
        <w:bottom w:val="none" w:sz="0" w:space="0" w:color="auto"/>
        <w:right w:val="none" w:sz="0" w:space="0" w:color="auto"/>
      </w:divBdr>
      <w:divsChild>
        <w:div w:id="66878472">
          <w:marLeft w:val="0"/>
          <w:marRight w:val="0"/>
          <w:marTop w:val="0"/>
          <w:marBottom w:val="0"/>
          <w:divBdr>
            <w:top w:val="none" w:sz="0" w:space="0" w:color="auto"/>
            <w:left w:val="none" w:sz="0" w:space="0" w:color="auto"/>
            <w:bottom w:val="none" w:sz="0" w:space="0" w:color="auto"/>
            <w:right w:val="none" w:sz="0" w:space="0" w:color="auto"/>
          </w:divBdr>
          <w:divsChild>
            <w:div w:id="1395274228">
              <w:marLeft w:val="0"/>
              <w:marRight w:val="0"/>
              <w:marTop w:val="0"/>
              <w:marBottom w:val="0"/>
              <w:divBdr>
                <w:top w:val="none" w:sz="0" w:space="0" w:color="auto"/>
                <w:left w:val="none" w:sz="0" w:space="0" w:color="auto"/>
                <w:bottom w:val="none" w:sz="0" w:space="0" w:color="auto"/>
                <w:right w:val="none" w:sz="0" w:space="0" w:color="auto"/>
              </w:divBdr>
              <w:divsChild>
                <w:div w:id="4194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26288">
      <w:bodyDiv w:val="1"/>
      <w:marLeft w:val="0"/>
      <w:marRight w:val="0"/>
      <w:marTop w:val="0"/>
      <w:marBottom w:val="0"/>
      <w:divBdr>
        <w:top w:val="none" w:sz="0" w:space="0" w:color="auto"/>
        <w:left w:val="none" w:sz="0" w:space="0" w:color="auto"/>
        <w:bottom w:val="none" w:sz="0" w:space="0" w:color="auto"/>
        <w:right w:val="none" w:sz="0" w:space="0" w:color="auto"/>
      </w:divBdr>
    </w:div>
    <w:div w:id="1747336669">
      <w:bodyDiv w:val="1"/>
      <w:marLeft w:val="0"/>
      <w:marRight w:val="0"/>
      <w:marTop w:val="0"/>
      <w:marBottom w:val="0"/>
      <w:divBdr>
        <w:top w:val="none" w:sz="0" w:space="0" w:color="auto"/>
        <w:left w:val="none" w:sz="0" w:space="0" w:color="auto"/>
        <w:bottom w:val="none" w:sz="0" w:space="0" w:color="auto"/>
        <w:right w:val="none" w:sz="0" w:space="0" w:color="auto"/>
      </w:divBdr>
    </w:div>
    <w:div w:id="1766227904">
      <w:bodyDiv w:val="1"/>
      <w:marLeft w:val="0"/>
      <w:marRight w:val="0"/>
      <w:marTop w:val="0"/>
      <w:marBottom w:val="0"/>
      <w:divBdr>
        <w:top w:val="none" w:sz="0" w:space="0" w:color="auto"/>
        <w:left w:val="none" w:sz="0" w:space="0" w:color="auto"/>
        <w:bottom w:val="none" w:sz="0" w:space="0" w:color="auto"/>
        <w:right w:val="none" w:sz="0" w:space="0" w:color="auto"/>
      </w:divBdr>
    </w:div>
    <w:div w:id="1800487560">
      <w:bodyDiv w:val="1"/>
      <w:marLeft w:val="0"/>
      <w:marRight w:val="0"/>
      <w:marTop w:val="0"/>
      <w:marBottom w:val="0"/>
      <w:divBdr>
        <w:top w:val="none" w:sz="0" w:space="0" w:color="auto"/>
        <w:left w:val="none" w:sz="0" w:space="0" w:color="auto"/>
        <w:bottom w:val="none" w:sz="0" w:space="0" w:color="auto"/>
        <w:right w:val="none" w:sz="0" w:space="0" w:color="auto"/>
      </w:divBdr>
    </w:div>
    <w:div w:id="2085880415">
      <w:bodyDiv w:val="1"/>
      <w:marLeft w:val="0"/>
      <w:marRight w:val="0"/>
      <w:marTop w:val="0"/>
      <w:marBottom w:val="0"/>
      <w:divBdr>
        <w:top w:val="none" w:sz="0" w:space="0" w:color="auto"/>
        <w:left w:val="none" w:sz="0" w:space="0" w:color="auto"/>
        <w:bottom w:val="none" w:sz="0" w:space="0" w:color="auto"/>
        <w:right w:val="none" w:sz="0" w:space="0" w:color="auto"/>
      </w:divBdr>
    </w:div>
    <w:div w:id="2115202415">
      <w:bodyDiv w:val="1"/>
      <w:marLeft w:val="0"/>
      <w:marRight w:val="0"/>
      <w:marTop w:val="0"/>
      <w:marBottom w:val="0"/>
      <w:divBdr>
        <w:top w:val="none" w:sz="0" w:space="0" w:color="auto"/>
        <w:left w:val="none" w:sz="0" w:space="0" w:color="auto"/>
        <w:bottom w:val="none" w:sz="0" w:space="0" w:color="auto"/>
        <w:right w:val="none" w:sz="0" w:space="0" w:color="auto"/>
      </w:divBdr>
    </w:div>
    <w:div w:id="212469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4776E6A-A501-41D1-8C34-C6A455E4BB0E}">
  <we:reference id="wa200010453" version="1.0.0.1" store="Omex" storeType="OMEX"/>
  <we:alternateReferences>
    <we:reference id="wa200010453" version="1.0.0.1" store="Omex" storeType="OMEX"/>
  </we:alternateReferences>
  <we:properties>
    <we:property name="claude.fileId" value="&quot;dc7875df-913b-4988-bf93-ea77d7487bb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55923E924EE90E4FADB574F8ED208E1B" ma:contentTypeVersion="39" ma:contentTypeDescription="Creare un nuovo documento." ma:contentTypeScope="" ma:versionID="5e9b32370bc9654e1aa713ed02420514">
  <xsd:schema xmlns:xsd="http://www.w3.org/2001/XMLSchema" xmlns:xs="http://www.w3.org/2001/XMLSchema" xmlns:p="http://schemas.microsoft.com/office/2006/metadata/properties" xmlns:ns2="e8595fe5-0c48-437e-aaac-dda92e027176" xmlns:ns3="4fd4c012-548b-404c-a2a2-e3722ccab28e" targetNamespace="http://schemas.microsoft.com/office/2006/metadata/properties" ma:root="true" ma:fieldsID="f113c56d00640f430b9a070a3534af06" ns2:_="" ns3:_="">
    <xsd:import namespace="e8595fe5-0c48-437e-aaac-dda92e027176"/>
    <xsd:import namespace="4fd4c012-548b-404c-a2a2-e3722ccab28e"/>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Distribution_Groups" minOccurs="0"/>
                <xsd:element ref="ns2:LMS_Mapping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Teams_Channel_Section_Location"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TODO" minOccurs="0"/>
                <xsd:element ref="ns2:Completo"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95fe5-0c48-437e-aaac-dda92e02717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Teams_Channel_Section_Location" ma:index="28" nillable="true" ma:displayName="Teams Channel Section Location" ma:internalName="Teams_Channel_Section_Location">
      <xsd:simpleType>
        <xsd:restriction base="dms:Text"/>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lcf76f155ced4ddcb4097134ff3c332f" ma:index="34" nillable="true" ma:taxonomy="true" ma:internalName="lcf76f155ced4ddcb4097134ff3c332f" ma:taxonomyFieldName="MediaServiceImageTags" ma:displayName="Tag immagine" ma:readOnly="false" ma:fieldId="{5cf76f15-5ced-4ddc-b409-7134ff3c332f}" ma:taxonomyMulti="true" ma:sspId="c5ef9682-6c55-4541-b5a3-cf23735ee82a" ma:termSetId="09814cd3-568e-fe90-9814-8d621ff8fb84" ma:anchorId="fba54fb3-c3e1-fe81-a776-ca4b69148c4d" ma:open="true" ma:isKeyword="false">
      <xsd:complexType>
        <xsd:sequence>
          <xsd:element ref="pc:Terms" minOccurs="0" maxOccurs="1"/>
        </xsd:sequence>
      </xsd:complex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TODO" ma:index="40" nillable="true" ma:displayName="TODO" ma:format="Dropdown" ma:internalName="TODO">
      <xsd:simpleType>
        <xsd:restriction base="dms:Note">
          <xsd:maxLength value="255"/>
        </xsd:restriction>
      </xsd:simpleType>
    </xsd:element>
    <xsd:element name="Completo" ma:index="41" nillable="true" ma:displayName="Completo" ma:default="0" ma:format="Dropdown" ma:internalName="Completo">
      <xsd:simpleType>
        <xsd:restriction base="dms:Boolean"/>
      </xsd:simpleType>
    </xsd:element>
    <xsd:element name="MediaLengthInSeconds" ma:index="44" nillable="true" ma:displayName="MediaLengthInSeconds" ma:hidden="true" ma:internalName="MediaLengthInSeconds" ma:readOnly="true">
      <xsd:simpleType>
        <xsd:restriction base="dms:Unknown"/>
      </xsd:simpleType>
    </xsd:element>
    <xsd:element name="MediaServiceLocation" ma:index="45" nillable="true" ma:displayName="Location" ma:indexed="true" ma:internalName="MediaServiceLocation" ma:readOnly="true">
      <xsd:simpleType>
        <xsd:restriction base="dms:Text"/>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4c012-548b-404c-a2a2-e3722ccab28e" elementFormDefault="qualified">
    <xsd:import namespace="http://schemas.microsoft.com/office/2006/documentManagement/types"/>
    <xsd:import namespace="http://schemas.microsoft.com/office/infopath/2007/PartnerControls"/>
    <xsd:element name="TaxCatchAll" ma:index="35" nillable="true" ma:displayName="Taxonomy Catch All Column" ma:hidden="true" ma:list="{72b70ea1-9c7c-4043-a863-6d918497c5d2}" ma:internalName="TaxCatchAll" ma:showField="CatchAllData" ma:web="4fd4c012-548b-404c-a2a2-e3722ccab28e">
      <xsd:complexType>
        <xsd:complexContent>
          <xsd:extension base="dms:MultiChoiceLookup">
            <xsd:sequence>
              <xsd:element name="Value" type="dms:Lookup" maxOccurs="unbounded" minOccurs="0" nillable="true"/>
            </xsd:sequence>
          </xsd:extension>
        </xsd:complexContent>
      </xsd:complexType>
    </xsd:element>
    <xsd:element name="SharedWithUsers" ma:index="4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595fe5-0c48-437e-aaac-dda92e027176">
      <Terms xmlns="http://schemas.microsoft.com/office/infopath/2007/PartnerControls"/>
    </lcf76f155ced4ddcb4097134ff3c332f>
    <TaxCatchAll xmlns="4fd4c012-548b-404c-a2a2-e3722ccab28e" xsi:nil="true"/>
    <SharedWithUsers xmlns="4fd4c012-548b-404c-a2a2-e3722ccab28e">
      <UserInfo>
        <DisplayName/>
        <AccountId xsi:nil="true"/>
        <AccountType/>
      </UserInfo>
    </SharedWithUsers>
    <DefaultSectionNames xmlns="e8595fe5-0c48-437e-aaac-dda92e027176" xsi:nil="true"/>
    <Teams_Channel_Section_Location xmlns="e8595fe5-0c48-437e-aaac-dda92e027176" xsi:nil="true"/>
    <AppVersion xmlns="e8595fe5-0c48-437e-aaac-dda92e027176" xsi:nil="true"/>
    <NotebookType xmlns="e8595fe5-0c48-437e-aaac-dda92e027176" xsi:nil="true"/>
    <Templates xmlns="e8595fe5-0c48-437e-aaac-dda92e027176" xsi:nil="true"/>
    <Has_Teacher_Only_SectionGroup xmlns="e8595fe5-0c48-437e-aaac-dda92e027176" xsi:nil="true"/>
    <Completo xmlns="e8595fe5-0c48-437e-aaac-dda92e027176">false</Completo>
    <Is_Collaboration_Space_Locked xmlns="e8595fe5-0c48-437e-aaac-dda92e027176" xsi:nil="true"/>
    <TeamsChannelId xmlns="e8595fe5-0c48-437e-aaac-dda92e027176" xsi:nil="true"/>
    <Owner xmlns="e8595fe5-0c48-437e-aaac-dda92e027176">
      <UserInfo>
        <DisplayName/>
        <AccountId xsi:nil="true"/>
        <AccountType/>
      </UserInfo>
    </Owner>
    <LMS_Mappings xmlns="e8595fe5-0c48-437e-aaac-dda92e027176" xsi:nil="true"/>
    <IsNotebookLocked xmlns="e8595fe5-0c48-437e-aaac-dda92e027176" xsi:nil="true"/>
    <Invited_Students xmlns="e8595fe5-0c48-437e-aaac-dda92e027176" xsi:nil="true"/>
    <FolderType xmlns="e8595fe5-0c48-437e-aaac-dda92e027176" xsi:nil="true"/>
    <CultureName xmlns="e8595fe5-0c48-437e-aaac-dda92e027176" xsi:nil="true"/>
    <Students xmlns="e8595fe5-0c48-437e-aaac-dda92e027176">
      <UserInfo>
        <DisplayName/>
        <AccountId xsi:nil="true"/>
        <AccountType/>
      </UserInfo>
    </Students>
    <Self_Registration_Enabled xmlns="e8595fe5-0c48-437e-aaac-dda92e027176" xsi:nil="true"/>
    <Invited_Teachers xmlns="e8595fe5-0c48-437e-aaac-dda92e027176" xsi:nil="true"/>
    <TODO xmlns="e8595fe5-0c48-437e-aaac-dda92e027176" xsi:nil="true"/>
    <Teachers xmlns="e8595fe5-0c48-437e-aaac-dda92e027176">
      <UserInfo>
        <DisplayName/>
        <AccountId xsi:nil="true"/>
        <AccountType/>
      </UserInfo>
    </Teachers>
    <Student_Groups xmlns="e8595fe5-0c48-437e-aaac-dda92e027176">
      <UserInfo>
        <DisplayName/>
        <AccountId xsi:nil="true"/>
        <AccountType/>
      </UserInfo>
    </Student_Groups>
    <Distribution_Groups xmlns="e8595fe5-0c48-437e-aaac-dda92e027176" xsi:nil="true"/>
    <Math_Settings xmlns="e8595fe5-0c48-437e-aaac-dda92e027176" xsi:nil="true"/>
  </documentManagement>
</p:properties>
</file>

<file path=customXml/itemProps1.xml><?xml version="1.0" encoding="utf-8"?>
<ds:datastoreItem xmlns:ds="http://schemas.openxmlformats.org/officeDocument/2006/customXml" ds:itemID="{E0226A53-2A40-407D-9ED2-90920DD32991}">
  <ds:schemaRefs>
    <ds:schemaRef ds:uri="http://schemas.microsoft.com/sharepoint/v3/contenttype/forms"/>
  </ds:schemaRefs>
</ds:datastoreItem>
</file>

<file path=customXml/itemProps2.xml><?xml version="1.0" encoding="utf-8"?>
<ds:datastoreItem xmlns:ds="http://schemas.openxmlformats.org/officeDocument/2006/customXml" ds:itemID="{DEED3B5D-FEEE-48FC-A841-8DA31968B478}">
  <ds:schemaRefs>
    <ds:schemaRef ds:uri="http://schemas.openxmlformats.org/officeDocument/2006/bibliography"/>
  </ds:schemaRefs>
</ds:datastoreItem>
</file>

<file path=customXml/itemProps3.xml><?xml version="1.0" encoding="utf-8"?>
<ds:datastoreItem xmlns:ds="http://schemas.openxmlformats.org/officeDocument/2006/customXml" ds:itemID="{46273AB7-FF08-45A9-8D56-D8B53A3DE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95fe5-0c48-437e-aaac-dda92e027176"/>
    <ds:schemaRef ds:uri="4fd4c012-548b-404c-a2a2-e3722ccab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728FF-E955-4595-8B3F-F309B1B93BFD}">
  <ds:schemaRefs>
    <ds:schemaRef ds:uri="http://schemas.microsoft.com/office/2006/metadata/properties"/>
    <ds:schemaRef ds:uri="http://schemas.microsoft.com/office/infopath/2007/PartnerControls"/>
    <ds:schemaRef ds:uri="e8595fe5-0c48-437e-aaac-dda92e027176"/>
    <ds:schemaRef ds:uri="4fd4c012-548b-404c-a2a2-e3722ccab28e"/>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5836</Words>
  <Characters>33269</Characters>
  <Application>Microsoft Office Word</Application>
  <DocSecurity>4</DocSecurity>
  <Lines>277</Lines>
  <Paragraphs>78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GianMaria Zaccaria</dc:creator>
  <cp:keywords/>
  <dc:description/>
  <cp:lastModifiedBy>Nicola Altini</cp:lastModifiedBy>
  <cp:revision>331</cp:revision>
  <cp:lastPrinted>2020-11-30T06:35:00Z</cp:lastPrinted>
  <dcterms:created xsi:type="dcterms:W3CDTF">2024-11-19T09:06:00Z</dcterms:created>
  <dcterms:modified xsi:type="dcterms:W3CDTF">2026-08-23T15:23:00Z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http://csl.mendeley.com/styles/2075441/annals-of-oncology-UP</vt:lpwstr>
  </property>
  <property fmtid="{D5CDD505-2E9C-101B-9397-08002B2CF9AE}" pid="7" name="Mendeley Recent Style Name 2_1">
    <vt:lpwstr>Annals of Oncology - Superscript - UP</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http://csl.mendeley.com/styles/16057573/vancouver-2</vt:lpwstr>
  </property>
  <property fmtid="{D5CDD505-2E9C-101B-9397-08002B2CF9AE}" pid="21" name="Mendeley Recent Style Name 9_1">
    <vt:lpwstr>Vancouver - UWA</vt:lpwstr>
  </property>
  <property fmtid="{D5CDD505-2E9C-101B-9397-08002B2CF9AE}" pid="22" name="Mendeley Document_1">
    <vt:lpwstr>True</vt:lpwstr>
  </property>
  <property fmtid="{D5CDD505-2E9C-101B-9397-08002B2CF9AE}" pid="23" name="Mendeley Unique User Id_1">
    <vt:lpwstr>8729a695-1137-36e1-a2d2-3bd3050d73bd</vt:lpwstr>
  </property>
  <property fmtid="{D5CDD505-2E9C-101B-9397-08002B2CF9AE}" pid="24" name="Mendeley Citation Style_1">
    <vt:lpwstr>http://csl.mendeley.com/styles/2075441/annals-of-oncology-UP</vt:lpwstr>
  </property>
  <property fmtid="{D5CDD505-2E9C-101B-9397-08002B2CF9AE}" pid="25" name="ContentTypeId">
    <vt:lpwstr>0x01010055923E924EE90E4FADB574F8ED208E1B</vt:lpwstr>
  </property>
  <property fmtid="{D5CDD505-2E9C-101B-9397-08002B2CF9AE}" pid="26" name="MediaServiceImageTags">
    <vt:lpwstr/>
  </property>
  <property fmtid="{D5CDD505-2E9C-101B-9397-08002B2CF9AE}" pid="27" name="Order">
    <vt:r8>34600</vt:r8>
  </property>
  <property fmtid="{D5CDD505-2E9C-101B-9397-08002B2CF9AE}" pid="28" name="ComplianceAssetId">
    <vt:lpwstr/>
  </property>
  <property fmtid="{D5CDD505-2E9C-101B-9397-08002B2CF9AE}" pid="29" name="_ExtendedDescription">
    <vt:lpwstr/>
  </property>
  <property fmtid="{D5CDD505-2E9C-101B-9397-08002B2CF9AE}" pid="30" name="TriggerFlowInfo">
    <vt:lpwstr/>
  </property>
  <property fmtid="{D5CDD505-2E9C-101B-9397-08002B2CF9AE}" pid="31" name="ZOTERO_PREF_1">
    <vt:lpwstr>&lt;data data-version="3" zotero-version="9.0.6"&gt;&lt;session id="HaI2VY0N"/&gt;&lt;style id="http://www.zotero.org/styles/scientific-reports" hasBibliography="1" bibliographyStyleHasBeenSet="1"/&gt;&lt;prefs&gt;&lt;pref name="fieldType" value="Field"/&gt;&lt;pref name="automaticJourna</vt:lpwstr>
  </property>
  <property fmtid="{D5CDD505-2E9C-101B-9397-08002B2CF9AE}" pid="32" name="ZOTERO_PREF_2">
    <vt:lpwstr>lAbbreviations" value="true"/&gt;&lt;/prefs&gt;&lt;/data&gt;</vt:lpwstr>
  </property>
</Properties>
</file>