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B2B80B" w14:textId="76B2DA09" w:rsidR="00397DFC" w:rsidRDefault="00845A66" w:rsidP="00845A66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45A66">
        <w:rPr>
          <w:rFonts w:ascii="Times New Roman" w:hAnsi="Times New Roman"/>
          <w:b w:val="0"/>
          <w:bCs w:val="0"/>
          <w:color w:val="000000" w:themeColor="text1"/>
        </w:rPr>
        <w:t>Supplementary Table S1. Comparison of Fitness Values on Unimodal Benchmark Functions.</w:t>
      </w:r>
    </w:p>
    <w:tbl>
      <w:tblPr>
        <w:tblStyle w:val="af"/>
        <w:tblW w:w="10465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966"/>
        <w:gridCol w:w="967"/>
        <w:gridCol w:w="967"/>
        <w:gridCol w:w="967"/>
        <w:gridCol w:w="967"/>
        <w:gridCol w:w="967"/>
        <w:gridCol w:w="967"/>
        <w:gridCol w:w="389"/>
        <w:gridCol w:w="1763"/>
      </w:tblGrid>
      <w:tr w:rsidR="00845A66" w:rsidRPr="00E70EFE" w14:paraId="0DE36DED" w14:textId="77777777" w:rsidTr="00F307F3">
        <w:trPr>
          <w:jc w:val="center"/>
        </w:trPr>
        <w:tc>
          <w:tcPr>
            <w:tcW w:w="154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299EB4C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Fitness</w:t>
            </w:r>
          </w:p>
          <w:p w14:paraId="25E48F43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(WOA)</w:t>
            </w:r>
          </w:p>
        </w:tc>
        <w:tc>
          <w:tcPr>
            <w:tcW w:w="96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C58D036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5.13E+05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6387D6A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7.92E+06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02FFE29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3.30E+06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C363CA5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1.10E+06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7C13FF0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2.30E+06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BBEA44A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2.50E+06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BB19D60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3.06E+06</w:t>
            </w:r>
          </w:p>
        </w:tc>
        <w:tc>
          <w:tcPr>
            <w:tcW w:w="38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7EF3455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…</w:t>
            </w:r>
          </w:p>
        </w:tc>
        <w:tc>
          <w:tcPr>
            <w:tcW w:w="176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EB76D27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</w:rPr>
            </w:pPr>
            <w:r w:rsidRPr="00845A66">
              <w:rPr>
                <w:rFonts w:ascii="Times New Roman" w:hAnsi="Times New Roman"/>
                <w:bCs/>
              </w:rPr>
              <w:t>2.03E+06</w:t>
            </w:r>
          </w:p>
        </w:tc>
      </w:tr>
      <w:tr w:rsidR="00845A66" w:rsidRPr="00E70EFE" w14:paraId="42D0B608" w14:textId="77777777" w:rsidTr="00F307F3">
        <w:trPr>
          <w:jc w:val="center"/>
        </w:trPr>
        <w:tc>
          <w:tcPr>
            <w:tcW w:w="1545" w:type="dxa"/>
            <w:tcBorders>
              <w:top w:val="single" w:sz="4" w:space="0" w:color="auto"/>
            </w:tcBorders>
            <w:vAlign w:val="center"/>
          </w:tcPr>
          <w:p w14:paraId="68FCE135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Fitness</w:t>
            </w:r>
          </w:p>
          <w:p w14:paraId="48588C5D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(IWOA)</w:t>
            </w:r>
          </w:p>
        </w:tc>
        <w:tc>
          <w:tcPr>
            <w:tcW w:w="966" w:type="dxa"/>
            <w:tcBorders>
              <w:top w:val="single" w:sz="4" w:space="0" w:color="auto"/>
            </w:tcBorders>
            <w:vAlign w:val="center"/>
          </w:tcPr>
          <w:p w14:paraId="080DAB06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2.21E+05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0F66B37D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1.13E+06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72007FA0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5.93E+05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182D0654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1.44E+06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125878E5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2.79E+06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67229B64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2.14E+05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35B03FFE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1.63E+06</w:t>
            </w:r>
          </w:p>
        </w:tc>
        <w:tc>
          <w:tcPr>
            <w:tcW w:w="389" w:type="dxa"/>
            <w:tcBorders>
              <w:top w:val="single" w:sz="4" w:space="0" w:color="auto"/>
            </w:tcBorders>
            <w:vAlign w:val="center"/>
          </w:tcPr>
          <w:p w14:paraId="4593C5FF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…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vAlign w:val="center"/>
          </w:tcPr>
          <w:p w14:paraId="511F8F7E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8.50E+05</w:t>
            </w:r>
          </w:p>
        </w:tc>
      </w:tr>
    </w:tbl>
    <w:p w14:paraId="7132D1FF" w14:textId="77777777" w:rsidR="00845A66" w:rsidRDefault="00845A66" w:rsidP="00845A66"/>
    <w:p w14:paraId="547778AF" w14:textId="77777777" w:rsidR="00845A66" w:rsidRPr="00845A66" w:rsidRDefault="00845A66" w:rsidP="00845A66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45A66">
        <w:rPr>
          <w:rFonts w:ascii="Times New Roman" w:hAnsi="Times New Roman"/>
          <w:b w:val="0"/>
          <w:bCs w:val="0"/>
          <w:color w:val="000000" w:themeColor="text1"/>
        </w:rPr>
        <w:t>Supplementary Table S2. Comparison of Fitness Values on Multimodal Benchmark Functions.</w:t>
      </w:r>
    </w:p>
    <w:tbl>
      <w:tblPr>
        <w:tblStyle w:val="af"/>
        <w:tblW w:w="10465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949"/>
        <w:gridCol w:w="949"/>
        <w:gridCol w:w="948"/>
        <w:gridCol w:w="948"/>
        <w:gridCol w:w="948"/>
        <w:gridCol w:w="948"/>
        <w:gridCol w:w="948"/>
        <w:gridCol w:w="389"/>
        <w:gridCol w:w="1891"/>
      </w:tblGrid>
      <w:tr w:rsidR="00845A66" w:rsidRPr="00E70EFE" w14:paraId="19BDF16C" w14:textId="77777777" w:rsidTr="00F307F3">
        <w:trPr>
          <w:jc w:val="center"/>
        </w:trPr>
        <w:tc>
          <w:tcPr>
            <w:tcW w:w="1698" w:type="dxa"/>
            <w:vAlign w:val="center"/>
          </w:tcPr>
          <w:p w14:paraId="350F2AE8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Fitness</w:t>
            </w:r>
          </w:p>
          <w:p w14:paraId="21EDCC31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(WOA)</w:t>
            </w:r>
          </w:p>
        </w:tc>
        <w:tc>
          <w:tcPr>
            <w:tcW w:w="1041" w:type="dxa"/>
            <w:vAlign w:val="center"/>
          </w:tcPr>
          <w:p w14:paraId="3ABF3956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2.53E+09</w:t>
            </w:r>
          </w:p>
        </w:tc>
        <w:tc>
          <w:tcPr>
            <w:tcW w:w="1041" w:type="dxa"/>
            <w:vAlign w:val="center"/>
          </w:tcPr>
          <w:p w14:paraId="5507614C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2.70E+09</w:t>
            </w:r>
          </w:p>
        </w:tc>
        <w:tc>
          <w:tcPr>
            <w:tcW w:w="1041" w:type="dxa"/>
            <w:vAlign w:val="center"/>
          </w:tcPr>
          <w:p w14:paraId="172C7E46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1.80E+09</w:t>
            </w:r>
          </w:p>
        </w:tc>
        <w:tc>
          <w:tcPr>
            <w:tcW w:w="1041" w:type="dxa"/>
            <w:vAlign w:val="center"/>
          </w:tcPr>
          <w:p w14:paraId="20F4F8DB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3.27E+09</w:t>
            </w:r>
          </w:p>
        </w:tc>
        <w:tc>
          <w:tcPr>
            <w:tcW w:w="1041" w:type="dxa"/>
            <w:vAlign w:val="center"/>
          </w:tcPr>
          <w:p w14:paraId="70FBB097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3.67E+09</w:t>
            </w:r>
          </w:p>
        </w:tc>
        <w:tc>
          <w:tcPr>
            <w:tcW w:w="1041" w:type="dxa"/>
            <w:vAlign w:val="center"/>
          </w:tcPr>
          <w:p w14:paraId="02B27231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2.21E+09</w:t>
            </w:r>
          </w:p>
        </w:tc>
        <w:tc>
          <w:tcPr>
            <w:tcW w:w="1041" w:type="dxa"/>
            <w:vAlign w:val="center"/>
          </w:tcPr>
          <w:p w14:paraId="12D3737B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2.44E+09</w:t>
            </w:r>
          </w:p>
        </w:tc>
        <w:tc>
          <w:tcPr>
            <w:tcW w:w="426" w:type="dxa"/>
            <w:vAlign w:val="center"/>
          </w:tcPr>
          <w:p w14:paraId="5501F992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45A66">
              <w:rPr>
                <w:rFonts w:ascii="Times New Roman" w:hAnsi="Times New Roman"/>
                <w:b/>
                <w:bCs/>
                <w:color w:val="000000" w:themeColor="text1"/>
              </w:rPr>
              <w:t>…</w:t>
            </w:r>
          </w:p>
        </w:tc>
        <w:tc>
          <w:tcPr>
            <w:tcW w:w="2077" w:type="dxa"/>
            <w:vAlign w:val="center"/>
          </w:tcPr>
          <w:p w14:paraId="47D0363F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1.71E+09</w:t>
            </w:r>
          </w:p>
        </w:tc>
      </w:tr>
      <w:tr w:rsidR="00845A66" w:rsidRPr="00E70EFE" w14:paraId="7E06AA7E" w14:textId="77777777" w:rsidTr="00F307F3">
        <w:trPr>
          <w:jc w:val="center"/>
        </w:trPr>
        <w:tc>
          <w:tcPr>
            <w:tcW w:w="1698" w:type="dxa"/>
            <w:vAlign w:val="center"/>
          </w:tcPr>
          <w:p w14:paraId="26E36A3E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Fitness</w:t>
            </w:r>
          </w:p>
          <w:p w14:paraId="7D6F943A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(IWOA)</w:t>
            </w:r>
          </w:p>
        </w:tc>
        <w:tc>
          <w:tcPr>
            <w:tcW w:w="1041" w:type="dxa"/>
            <w:vAlign w:val="center"/>
          </w:tcPr>
          <w:p w14:paraId="3C966EC1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6.82E+08</w:t>
            </w:r>
          </w:p>
        </w:tc>
        <w:tc>
          <w:tcPr>
            <w:tcW w:w="1041" w:type="dxa"/>
            <w:vAlign w:val="center"/>
          </w:tcPr>
          <w:p w14:paraId="7223BB5A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1.60E+09</w:t>
            </w:r>
          </w:p>
        </w:tc>
        <w:tc>
          <w:tcPr>
            <w:tcW w:w="1041" w:type="dxa"/>
            <w:vAlign w:val="center"/>
          </w:tcPr>
          <w:p w14:paraId="5FD75258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1.50E+09</w:t>
            </w:r>
          </w:p>
        </w:tc>
        <w:tc>
          <w:tcPr>
            <w:tcW w:w="1041" w:type="dxa"/>
            <w:vAlign w:val="center"/>
          </w:tcPr>
          <w:p w14:paraId="627EF453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1.40E+09</w:t>
            </w:r>
          </w:p>
        </w:tc>
        <w:tc>
          <w:tcPr>
            <w:tcW w:w="1041" w:type="dxa"/>
            <w:vAlign w:val="center"/>
          </w:tcPr>
          <w:p w14:paraId="3B7005BF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2.07E+09</w:t>
            </w:r>
          </w:p>
        </w:tc>
        <w:tc>
          <w:tcPr>
            <w:tcW w:w="1041" w:type="dxa"/>
            <w:vAlign w:val="center"/>
          </w:tcPr>
          <w:p w14:paraId="539931F3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7.57E+08</w:t>
            </w:r>
          </w:p>
        </w:tc>
        <w:tc>
          <w:tcPr>
            <w:tcW w:w="1041" w:type="dxa"/>
            <w:vAlign w:val="center"/>
          </w:tcPr>
          <w:p w14:paraId="371E0EA5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1.24E+09</w:t>
            </w:r>
          </w:p>
        </w:tc>
        <w:tc>
          <w:tcPr>
            <w:tcW w:w="426" w:type="dxa"/>
            <w:vAlign w:val="center"/>
          </w:tcPr>
          <w:p w14:paraId="1724A1D7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45A66">
              <w:rPr>
                <w:rFonts w:ascii="Times New Roman" w:hAnsi="Times New Roman"/>
                <w:b/>
                <w:bCs/>
                <w:color w:val="000000" w:themeColor="text1"/>
              </w:rPr>
              <w:t>…</w:t>
            </w:r>
          </w:p>
        </w:tc>
        <w:tc>
          <w:tcPr>
            <w:tcW w:w="2077" w:type="dxa"/>
            <w:vAlign w:val="center"/>
          </w:tcPr>
          <w:p w14:paraId="73617D09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45A66">
              <w:rPr>
                <w:rFonts w:ascii="Times New Roman" w:hAnsi="Times New Roman"/>
                <w:color w:val="000000" w:themeColor="text1"/>
              </w:rPr>
              <w:t>1.40E+09</w:t>
            </w:r>
          </w:p>
        </w:tc>
      </w:tr>
    </w:tbl>
    <w:p w14:paraId="2A63E82A" w14:textId="77777777" w:rsidR="00845A66" w:rsidRDefault="00845A66" w:rsidP="00845A66">
      <w:pPr>
        <w:rPr>
          <w:rFonts w:ascii="Times New Roman" w:hAnsi="Times New Roman" w:cs="Times New Roman"/>
          <w:color w:val="000000" w:themeColor="text1"/>
        </w:rPr>
      </w:pPr>
    </w:p>
    <w:p w14:paraId="6EEBB491" w14:textId="7A3F94A4" w:rsidR="00845A66" w:rsidRDefault="00845A66" w:rsidP="00845A66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45A66">
        <w:rPr>
          <w:rFonts w:ascii="Times New Roman" w:hAnsi="Times New Roman"/>
          <w:b w:val="0"/>
          <w:bCs w:val="0"/>
          <w:color w:val="000000" w:themeColor="text1"/>
        </w:rPr>
        <w:t>Supplementary Table S3. Comparison of Initial Path Costs.</w:t>
      </w:r>
    </w:p>
    <w:tbl>
      <w:tblPr>
        <w:tblStyle w:val="af"/>
        <w:tblW w:w="785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1440"/>
        <w:gridCol w:w="1027"/>
        <w:gridCol w:w="1226"/>
        <w:gridCol w:w="1492"/>
        <w:gridCol w:w="1493"/>
      </w:tblGrid>
      <w:tr w:rsidR="00845A66" w:rsidRPr="00E70EFE" w14:paraId="5AE412C5" w14:textId="77777777" w:rsidTr="00845A66">
        <w:tc>
          <w:tcPr>
            <w:tcW w:w="1179" w:type="dxa"/>
            <w:vAlign w:val="center"/>
          </w:tcPr>
          <w:p w14:paraId="392AACB1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WOA</w:t>
            </w:r>
          </w:p>
        </w:tc>
        <w:tc>
          <w:tcPr>
            <w:tcW w:w="1440" w:type="dxa"/>
            <w:vAlign w:val="center"/>
          </w:tcPr>
          <w:p w14:paraId="352FCFC7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78.33</w:t>
            </w:r>
          </w:p>
        </w:tc>
        <w:tc>
          <w:tcPr>
            <w:tcW w:w="1027" w:type="dxa"/>
            <w:vAlign w:val="center"/>
          </w:tcPr>
          <w:p w14:paraId="0642D818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85.36</w:t>
            </w:r>
          </w:p>
        </w:tc>
        <w:tc>
          <w:tcPr>
            <w:tcW w:w="1226" w:type="dxa"/>
            <w:vAlign w:val="center"/>
          </w:tcPr>
          <w:p w14:paraId="4D68B92E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81.25</w:t>
            </w:r>
          </w:p>
        </w:tc>
        <w:tc>
          <w:tcPr>
            <w:tcW w:w="1492" w:type="dxa"/>
            <w:vAlign w:val="center"/>
          </w:tcPr>
          <w:p w14:paraId="4594F6D9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…</w:t>
            </w:r>
          </w:p>
        </w:tc>
        <w:tc>
          <w:tcPr>
            <w:tcW w:w="1493" w:type="dxa"/>
            <w:vAlign w:val="center"/>
          </w:tcPr>
          <w:p w14:paraId="7ECEB433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84.49</w:t>
            </w:r>
          </w:p>
        </w:tc>
      </w:tr>
      <w:tr w:rsidR="00845A66" w:rsidRPr="00E70EFE" w14:paraId="466C2DCC" w14:textId="77777777" w:rsidTr="00845A66">
        <w:tc>
          <w:tcPr>
            <w:tcW w:w="1179" w:type="dxa"/>
            <w:vAlign w:val="center"/>
          </w:tcPr>
          <w:p w14:paraId="7AB0EE59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IWOA</w:t>
            </w:r>
          </w:p>
        </w:tc>
        <w:tc>
          <w:tcPr>
            <w:tcW w:w="1440" w:type="dxa"/>
            <w:vAlign w:val="center"/>
          </w:tcPr>
          <w:p w14:paraId="70B4C3EA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78.33</w:t>
            </w:r>
          </w:p>
        </w:tc>
        <w:tc>
          <w:tcPr>
            <w:tcW w:w="1027" w:type="dxa"/>
            <w:vAlign w:val="center"/>
          </w:tcPr>
          <w:p w14:paraId="61CCE450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885.36</w:t>
            </w:r>
          </w:p>
        </w:tc>
        <w:tc>
          <w:tcPr>
            <w:tcW w:w="1226" w:type="dxa"/>
            <w:vAlign w:val="center"/>
          </w:tcPr>
          <w:p w14:paraId="0C5FB818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81.25</w:t>
            </w:r>
          </w:p>
        </w:tc>
        <w:tc>
          <w:tcPr>
            <w:tcW w:w="1492" w:type="dxa"/>
            <w:vAlign w:val="center"/>
          </w:tcPr>
          <w:p w14:paraId="4F261AD4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…</w:t>
            </w:r>
          </w:p>
        </w:tc>
        <w:tc>
          <w:tcPr>
            <w:tcW w:w="1493" w:type="dxa"/>
            <w:vAlign w:val="center"/>
          </w:tcPr>
          <w:p w14:paraId="03E01401" w14:textId="77777777" w:rsidR="00845A66" w:rsidRPr="00845A66" w:rsidRDefault="00845A66" w:rsidP="00F307F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</w:rPr>
              <w:t>84.18</w:t>
            </w:r>
          </w:p>
        </w:tc>
      </w:tr>
    </w:tbl>
    <w:p w14:paraId="5FFE485B" w14:textId="77777777" w:rsidR="00845A66" w:rsidRDefault="00845A66" w:rsidP="00845A66"/>
    <w:p w14:paraId="15013010" w14:textId="77777777" w:rsidR="00845A66" w:rsidRDefault="00845A66" w:rsidP="00845A66"/>
    <w:p w14:paraId="66495583" w14:textId="77777777" w:rsidR="00845A66" w:rsidRPr="00845A66" w:rsidRDefault="00845A66" w:rsidP="00845A66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45A66">
        <w:rPr>
          <w:rFonts w:ascii="Times New Roman" w:hAnsi="Times New Roman"/>
          <w:b w:val="0"/>
          <w:bCs w:val="0"/>
          <w:color w:val="000000" w:themeColor="text1"/>
        </w:rPr>
        <w:t>Supplementary Table S4. Path Node Coordinates.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054"/>
        <w:gridCol w:w="2054"/>
        <w:gridCol w:w="2099"/>
        <w:gridCol w:w="2099"/>
      </w:tblGrid>
      <w:tr w:rsidR="00845A66" w14:paraId="5935972A" w14:textId="77777777" w:rsidTr="00845A66">
        <w:trPr>
          <w:jc w:val="center"/>
        </w:trPr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A5FDCD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WOA(</w:t>
            </w:r>
            <w:proofErr w:type="spellStart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i</w:t>
            </w:r>
            <w:proofErr w:type="spellEnd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=64)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69534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WOA(</w:t>
            </w:r>
            <w:proofErr w:type="spellStart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i</w:t>
            </w:r>
            <w:proofErr w:type="spellEnd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=64)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96A118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IWOA(</w:t>
            </w:r>
            <w:proofErr w:type="spellStart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i</w:t>
            </w:r>
            <w:proofErr w:type="spellEnd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=58)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EC7D8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IWOA(</w:t>
            </w:r>
            <w:proofErr w:type="spellStart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i</w:t>
            </w:r>
            <w:proofErr w:type="spellEnd"/>
            <w:r w:rsidRPr="00845A66">
              <w:rPr>
                <w:rFonts w:ascii="Times New Roman" w:hAnsi="Times New Roman"/>
                <w:b/>
                <w:sz w:val="18"/>
                <w:szCs w:val="18"/>
              </w:rPr>
              <w:t>=58)</w:t>
            </w:r>
          </w:p>
        </w:tc>
      </w:tr>
      <w:tr w:rsidR="00845A66" w14:paraId="00E1CB5A" w14:textId="77777777" w:rsidTr="00845A66">
        <w:trPr>
          <w:jc w:val="center"/>
        </w:trPr>
        <w:tc>
          <w:tcPr>
            <w:tcW w:w="3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F4FD19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Xi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E95EE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Yi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A89E0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Xi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B83BFA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Yi</w:t>
            </w:r>
          </w:p>
        </w:tc>
      </w:tr>
      <w:tr w:rsidR="00845A66" w14:paraId="2B5E8F24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2F3E4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35483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DED00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9D07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</w:tr>
      <w:tr w:rsidR="00845A66" w14:paraId="5D28E858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616DE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824BB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5EAD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FB3FE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</w:tr>
      <w:tr w:rsidR="00845A66" w14:paraId="554DE4CC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66658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0E070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EF17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16434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</w:tr>
      <w:tr w:rsidR="00845A66" w14:paraId="690D0903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F520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9DFC9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AD951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FD437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</w:tr>
      <w:tr w:rsidR="00845A66" w14:paraId="7D6554E6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F996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D9C33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E33CF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65987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</w:tr>
      <w:tr w:rsidR="00845A66" w14:paraId="17C3C56E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6F8F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AB7EE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F243D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E1EE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</w:tr>
      <w:tr w:rsidR="00845A66" w14:paraId="1AC6C4AF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9D411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97879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FB42A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F92FD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</w:tr>
      <w:tr w:rsidR="00845A66" w14:paraId="06ABD014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4401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ACBDB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B57D1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4BCC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</w:tr>
      <w:tr w:rsidR="00845A66" w14:paraId="76D6B436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A4D63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77256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9F687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3761B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</w:tr>
      <w:tr w:rsidR="00845A66" w14:paraId="786726F4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C639F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682B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2341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48536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45A66" w14:paraId="42FACCDC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E63A4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14DF0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7D557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04CAF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45A66" w14:paraId="414AE85E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1F45B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8182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2985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BCA40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45A66" w14:paraId="5300E89E" w14:textId="77777777" w:rsidTr="00845A66">
        <w:trPr>
          <w:jc w:val="center"/>
        </w:trPr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C1464C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B2BDE2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B4CB6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2AB223" w14:textId="77777777" w:rsidR="00845A66" w:rsidRPr="00845A66" w:rsidRDefault="00845A66">
            <w:pPr>
              <w:jc w:val="center"/>
              <w:rPr>
                <w:rFonts w:ascii="Times New Roman" w:hAnsi="Times New Roman"/>
              </w:rPr>
            </w:pPr>
            <w:r w:rsidRPr="00845A6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</w:tbl>
    <w:p w14:paraId="07E30E14" w14:textId="77777777" w:rsidR="00845A66" w:rsidRDefault="00845A66" w:rsidP="00845A66"/>
    <w:p w14:paraId="059D4B6E" w14:textId="77777777" w:rsidR="00845A66" w:rsidRDefault="00845A66" w:rsidP="00845A66"/>
    <w:p w14:paraId="72124267" w14:textId="77777777" w:rsidR="00845A66" w:rsidRDefault="00845A66" w:rsidP="00845A66"/>
    <w:p w14:paraId="71935D84" w14:textId="77777777" w:rsidR="00845A66" w:rsidRDefault="00845A66" w:rsidP="00845A66">
      <w:pPr>
        <w:rPr>
          <w:rFonts w:hint="eastAsia"/>
        </w:rPr>
      </w:pPr>
    </w:p>
    <w:p w14:paraId="3F87D7AE" w14:textId="77777777" w:rsidR="00845A66" w:rsidRPr="00845A66" w:rsidRDefault="00845A66" w:rsidP="00845A66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45A66">
        <w:rPr>
          <w:rFonts w:ascii="Times New Roman" w:hAnsi="Times New Roman"/>
          <w:b w:val="0"/>
          <w:bCs w:val="0"/>
          <w:color w:val="000000" w:themeColor="text1"/>
        </w:rPr>
        <w:lastRenderedPageBreak/>
        <w:t>Supplementary Table S5. Comparison of Curve Fitting Parameters.</w:t>
      </w: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279"/>
        <w:gridCol w:w="1419"/>
        <w:gridCol w:w="1464"/>
        <w:gridCol w:w="1471"/>
        <w:gridCol w:w="1338"/>
      </w:tblGrid>
      <w:tr w:rsidR="00870FB4" w14:paraId="4AE482A1" w14:textId="77777777" w:rsidTr="00870FB4">
        <w:trPr>
          <w:jc w:val="center"/>
        </w:trPr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3821FF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7D040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SSE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10A34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R-squared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55157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Degrees of Freedom of Error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245582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Adjusted R-squared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F144AE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RMS</w:t>
            </w:r>
          </w:p>
        </w:tc>
      </w:tr>
      <w:tr w:rsidR="00870FB4" w14:paraId="1D0827B2" w14:textId="77777777" w:rsidTr="00870FB4">
        <w:trPr>
          <w:jc w:val="center"/>
        </w:trPr>
        <w:tc>
          <w:tcPr>
            <w:tcW w:w="2494" w:type="dxa"/>
            <w:tcBorders>
              <w:top w:val="single" w:sz="4" w:space="0" w:color="auto"/>
            </w:tcBorders>
            <w:vAlign w:val="center"/>
            <w:hideMark/>
          </w:tcPr>
          <w:p w14:paraId="3B7435E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WOA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center"/>
            <w:hideMark/>
          </w:tcPr>
          <w:p w14:paraId="7444A97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13.50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center"/>
            <w:hideMark/>
          </w:tcPr>
          <w:p w14:paraId="0926568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0.9988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center"/>
            <w:hideMark/>
          </w:tcPr>
          <w:p w14:paraId="1ED27580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center"/>
            <w:hideMark/>
          </w:tcPr>
          <w:p w14:paraId="0AF27E0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0.9949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center"/>
            <w:hideMark/>
          </w:tcPr>
          <w:p w14:paraId="13D993CF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0.9819</w:t>
            </w:r>
          </w:p>
        </w:tc>
      </w:tr>
      <w:tr w:rsidR="00870FB4" w14:paraId="286E705F" w14:textId="77777777" w:rsidTr="00870FB4">
        <w:trPr>
          <w:jc w:val="center"/>
        </w:trPr>
        <w:tc>
          <w:tcPr>
            <w:tcW w:w="2494" w:type="dxa"/>
            <w:tcBorders>
              <w:bottom w:val="single" w:sz="4" w:space="0" w:color="auto"/>
            </w:tcBorders>
            <w:vAlign w:val="center"/>
            <w:hideMark/>
          </w:tcPr>
          <w:p w14:paraId="5CE793AE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IWOA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  <w:hideMark/>
          </w:tcPr>
          <w:p w14:paraId="3B196702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5.50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  <w:hideMark/>
          </w:tcPr>
          <w:p w14:paraId="589187AD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0.9995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  <w:hideMark/>
          </w:tcPr>
          <w:p w14:paraId="620ECA6B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  <w:hideMark/>
          </w:tcPr>
          <w:p w14:paraId="6C784B2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0.9972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  <w:hideMark/>
          </w:tcPr>
          <w:p w14:paraId="5DE800AA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0.7817</w:t>
            </w:r>
          </w:p>
        </w:tc>
      </w:tr>
    </w:tbl>
    <w:p w14:paraId="186CD21A" w14:textId="77777777" w:rsidR="00870FB4" w:rsidRPr="00870FB4" w:rsidRDefault="00870FB4" w:rsidP="00870FB4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70FB4">
        <w:rPr>
          <w:rFonts w:ascii="Times New Roman" w:hAnsi="Times New Roman"/>
          <w:b w:val="0"/>
          <w:bCs w:val="0"/>
          <w:color w:val="000000" w:themeColor="text1"/>
        </w:rPr>
        <w:t>Supplementary Table S6. Parameter settings.</w:t>
      </w: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9"/>
        <w:gridCol w:w="2650"/>
        <w:gridCol w:w="2747"/>
      </w:tblGrid>
      <w:tr w:rsidR="00870FB4" w14:paraId="72B6FAD1" w14:textId="77777777" w:rsidTr="00870FB4">
        <w:trPr>
          <w:jc w:val="center"/>
        </w:trPr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C4E32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Parameter</w:t>
            </w: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4AE905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Value</w:t>
            </w: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DA31D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Unit</w:t>
            </w:r>
          </w:p>
        </w:tc>
      </w:tr>
      <w:tr w:rsidR="00870FB4" w14:paraId="044F8569" w14:textId="77777777" w:rsidTr="00870FB4">
        <w:trPr>
          <w:jc w:val="center"/>
        </w:trPr>
        <w:tc>
          <w:tcPr>
            <w:tcW w:w="4987" w:type="dxa"/>
            <w:tcBorders>
              <w:top w:val="single" w:sz="4" w:space="0" w:color="auto"/>
            </w:tcBorders>
            <w:vAlign w:val="center"/>
            <w:hideMark/>
          </w:tcPr>
          <w:p w14:paraId="70C10B7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Maximum vehicle load capacity</w:t>
            </w:r>
          </w:p>
        </w:tc>
        <w:tc>
          <w:tcPr>
            <w:tcW w:w="4987" w:type="dxa"/>
            <w:tcBorders>
              <w:top w:val="single" w:sz="4" w:space="0" w:color="auto"/>
            </w:tcBorders>
            <w:vAlign w:val="center"/>
            <w:hideMark/>
          </w:tcPr>
          <w:p w14:paraId="38E2223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987" w:type="dxa"/>
            <w:tcBorders>
              <w:top w:val="single" w:sz="4" w:space="0" w:color="auto"/>
            </w:tcBorders>
            <w:vAlign w:val="center"/>
            <w:hideMark/>
          </w:tcPr>
          <w:p w14:paraId="564731D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boxes</w:t>
            </w:r>
          </w:p>
        </w:tc>
      </w:tr>
      <w:tr w:rsidR="00870FB4" w14:paraId="5EAF5A64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79BDB62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Battery capacity</w:t>
            </w:r>
          </w:p>
        </w:tc>
        <w:tc>
          <w:tcPr>
            <w:tcW w:w="4987" w:type="dxa"/>
            <w:vAlign w:val="center"/>
            <w:hideMark/>
          </w:tcPr>
          <w:p w14:paraId="7E00F78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4987" w:type="dxa"/>
            <w:vAlign w:val="center"/>
            <w:hideMark/>
          </w:tcPr>
          <w:p w14:paraId="0625440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kWh</w:t>
            </w:r>
          </w:p>
        </w:tc>
      </w:tr>
      <w:tr w:rsidR="00870FB4" w14:paraId="25805196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082BA1B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Driving energy consumption</w:t>
            </w:r>
          </w:p>
        </w:tc>
        <w:tc>
          <w:tcPr>
            <w:tcW w:w="4987" w:type="dxa"/>
            <w:vAlign w:val="center"/>
            <w:hideMark/>
          </w:tcPr>
          <w:p w14:paraId="0CE7DF32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0.3</w:t>
            </w:r>
          </w:p>
        </w:tc>
        <w:tc>
          <w:tcPr>
            <w:tcW w:w="4987" w:type="dxa"/>
            <w:vAlign w:val="center"/>
            <w:hideMark/>
          </w:tcPr>
          <w:p w14:paraId="366A425A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kWh/km</w:t>
            </w:r>
          </w:p>
        </w:tc>
      </w:tr>
      <w:tr w:rsidR="00870FB4" w14:paraId="68E8F4B6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46C6A7A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Maximum buffer capacity</w:t>
            </w:r>
          </w:p>
        </w:tc>
        <w:tc>
          <w:tcPr>
            <w:tcW w:w="4987" w:type="dxa"/>
            <w:vAlign w:val="center"/>
            <w:hideMark/>
          </w:tcPr>
          <w:p w14:paraId="4E19B7E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4987" w:type="dxa"/>
            <w:vAlign w:val="center"/>
            <w:hideMark/>
          </w:tcPr>
          <w:p w14:paraId="4BB1391D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boxes</w:t>
            </w:r>
          </w:p>
        </w:tc>
      </w:tr>
      <w:tr w:rsidR="00870FB4" w14:paraId="336693C1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4C00C88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ASC service time per order</w:t>
            </w:r>
          </w:p>
        </w:tc>
        <w:tc>
          <w:tcPr>
            <w:tcW w:w="4987" w:type="dxa"/>
            <w:vAlign w:val="center"/>
            <w:hideMark/>
          </w:tcPr>
          <w:p w14:paraId="5519B7C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87" w:type="dxa"/>
            <w:vAlign w:val="center"/>
            <w:hideMark/>
          </w:tcPr>
          <w:p w14:paraId="56AC849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min</w:t>
            </w:r>
          </w:p>
        </w:tc>
      </w:tr>
      <w:tr w:rsidR="00870FB4" w14:paraId="6CB51B59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013F2E3B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Average unloading time</w:t>
            </w:r>
          </w:p>
        </w:tc>
        <w:tc>
          <w:tcPr>
            <w:tcW w:w="4987" w:type="dxa"/>
            <w:vAlign w:val="center"/>
            <w:hideMark/>
          </w:tcPr>
          <w:p w14:paraId="6FDD3C1D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987" w:type="dxa"/>
            <w:vAlign w:val="center"/>
            <w:hideMark/>
          </w:tcPr>
          <w:p w14:paraId="1558049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min</w:t>
            </w:r>
          </w:p>
        </w:tc>
      </w:tr>
      <w:tr w:rsidR="00870FB4" w14:paraId="79CD13CF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7AE7274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Average charging time</w:t>
            </w:r>
          </w:p>
        </w:tc>
        <w:tc>
          <w:tcPr>
            <w:tcW w:w="4987" w:type="dxa"/>
            <w:vAlign w:val="center"/>
            <w:hideMark/>
          </w:tcPr>
          <w:p w14:paraId="10D9E77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4987" w:type="dxa"/>
            <w:vAlign w:val="center"/>
            <w:hideMark/>
          </w:tcPr>
          <w:p w14:paraId="1291AE0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min</w:t>
            </w:r>
          </w:p>
        </w:tc>
      </w:tr>
      <w:tr w:rsidR="00870FB4" w14:paraId="6E10BEAC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4B7DD5EC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Number of AGVs in fleet</w:t>
            </w:r>
          </w:p>
        </w:tc>
        <w:tc>
          <w:tcPr>
            <w:tcW w:w="4987" w:type="dxa"/>
            <w:vAlign w:val="center"/>
            <w:hideMark/>
          </w:tcPr>
          <w:p w14:paraId="3584A3F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987" w:type="dxa"/>
            <w:vAlign w:val="center"/>
            <w:hideMark/>
          </w:tcPr>
          <w:p w14:paraId="3C92FD6B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vehicles</w:t>
            </w:r>
          </w:p>
        </w:tc>
      </w:tr>
      <w:tr w:rsidR="00870FB4" w14:paraId="1E6E7615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136FAD4B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Number of ASCs</w:t>
            </w:r>
          </w:p>
        </w:tc>
        <w:tc>
          <w:tcPr>
            <w:tcW w:w="4987" w:type="dxa"/>
            <w:vAlign w:val="center"/>
            <w:hideMark/>
          </w:tcPr>
          <w:p w14:paraId="3E57E3CC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87" w:type="dxa"/>
            <w:vAlign w:val="center"/>
            <w:hideMark/>
          </w:tcPr>
          <w:p w14:paraId="4CCAE2DF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units</w:t>
            </w:r>
          </w:p>
        </w:tc>
      </w:tr>
      <w:tr w:rsidR="00870FB4" w14:paraId="1F9E4111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0EB4BAC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Charging efficiency</w:t>
            </w:r>
          </w:p>
        </w:tc>
        <w:tc>
          <w:tcPr>
            <w:tcW w:w="4987" w:type="dxa"/>
            <w:vAlign w:val="center"/>
            <w:hideMark/>
          </w:tcPr>
          <w:p w14:paraId="466E3225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0.9</w:t>
            </w:r>
          </w:p>
        </w:tc>
        <w:tc>
          <w:tcPr>
            <w:tcW w:w="4987" w:type="dxa"/>
            <w:vAlign w:val="center"/>
            <w:hideMark/>
          </w:tcPr>
          <w:p w14:paraId="0C8684B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70FB4" w14:paraId="11C4A0DB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1532E1D3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ASC horizontal travel speed</w:t>
            </w:r>
          </w:p>
        </w:tc>
        <w:tc>
          <w:tcPr>
            <w:tcW w:w="4987" w:type="dxa"/>
            <w:vAlign w:val="center"/>
            <w:hideMark/>
          </w:tcPr>
          <w:p w14:paraId="5C0E1B6A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87" w:type="dxa"/>
            <w:vAlign w:val="center"/>
            <w:hideMark/>
          </w:tcPr>
          <w:p w14:paraId="243EA17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m/s</w:t>
            </w:r>
          </w:p>
        </w:tc>
      </w:tr>
      <w:tr w:rsidR="00870FB4" w14:paraId="16ED6BCD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3F5BB080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ASC vertical lifting speed</w:t>
            </w:r>
          </w:p>
        </w:tc>
        <w:tc>
          <w:tcPr>
            <w:tcW w:w="4987" w:type="dxa"/>
            <w:vAlign w:val="center"/>
            <w:hideMark/>
          </w:tcPr>
          <w:p w14:paraId="3B8EE82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87" w:type="dxa"/>
            <w:vAlign w:val="center"/>
            <w:hideMark/>
          </w:tcPr>
          <w:p w14:paraId="746D0F35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m/s</w:t>
            </w:r>
          </w:p>
        </w:tc>
      </w:tr>
      <w:tr w:rsidR="00870FB4" w14:paraId="298D2795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2D4D619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ASC horizontal energy coefficient</w:t>
            </w:r>
          </w:p>
        </w:tc>
        <w:tc>
          <w:tcPr>
            <w:tcW w:w="4987" w:type="dxa"/>
            <w:vAlign w:val="center"/>
            <w:hideMark/>
          </w:tcPr>
          <w:p w14:paraId="0CA536E5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0.5</w:t>
            </w:r>
          </w:p>
        </w:tc>
        <w:tc>
          <w:tcPr>
            <w:tcW w:w="4987" w:type="dxa"/>
            <w:vAlign w:val="center"/>
            <w:hideMark/>
          </w:tcPr>
          <w:p w14:paraId="3937B7A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kWh/km</w:t>
            </w:r>
          </w:p>
        </w:tc>
      </w:tr>
      <w:tr w:rsidR="00870FB4" w14:paraId="5C664F1D" w14:textId="77777777" w:rsidTr="00870FB4">
        <w:trPr>
          <w:jc w:val="center"/>
        </w:trPr>
        <w:tc>
          <w:tcPr>
            <w:tcW w:w="4987" w:type="dxa"/>
            <w:vAlign w:val="center"/>
            <w:hideMark/>
          </w:tcPr>
          <w:p w14:paraId="2734558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ASC vertical energy coefficient</w:t>
            </w:r>
          </w:p>
        </w:tc>
        <w:tc>
          <w:tcPr>
            <w:tcW w:w="4987" w:type="dxa"/>
            <w:vAlign w:val="center"/>
            <w:hideMark/>
          </w:tcPr>
          <w:p w14:paraId="1DC1B9B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4987" w:type="dxa"/>
            <w:vAlign w:val="center"/>
            <w:hideMark/>
          </w:tcPr>
          <w:p w14:paraId="2BFE78A0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kWh/km</w:t>
            </w:r>
          </w:p>
        </w:tc>
      </w:tr>
      <w:tr w:rsidR="00870FB4" w14:paraId="6FDEEF49" w14:textId="77777777" w:rsidTr="00870FB4">
        <w:trPr>
          <w:jc w:val="center"/>
        </w:trPr>
        <w:tc>
          <w:tcPr>
            <w:tcW w:w="4987" w:type="dxa"/>
            <w:tcBorders>
              <w:bottom w:val="single" w:sz="4" w:space="0" w:color="auto"/>
            </w:tcBorders>
            <w:vAlign w:val="center"/>
            <w:hideMark/>
          </w:tcPr>
          <w:p w14:paraId="5BF6063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Daily operating horizon per scenario batch</w:t>
            </w:r>
          </w:p>
        </w:tc>
        <w:tc>
          <w:tcPr>
            <w:tcW w:w="4987" w:type="dxa"/>
            <w:tcBorders>
              <w:bottom w:val="single" w:sz="4" w:space="0" w:color="auto"/>
            </w:tcBorders>
            <w:vAlign w:val="center"/>
            <w:hideMark/>
          </w:tcPr>
          <w:p w14:paraId="08586CE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87" w:type="dxa"/>
            <w:tcBorders>
              <w:bottom w:val="single" w:sz="4" w:space="0" w:color="auto"/>
            </w:tcBorders>
            <w:vAlign w:val="center"/>
            <w:hideMark/>
          </w:tcPr>
          <w:p w14:paraId="4356B15C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h</w:t>
            </w:r>
          </w:p>
        </w:tc>
      </w:tr>
    </w:tbl>
    <w:p w14:paraId="309B6D83" w14:textId="77777777" w:rsidR="00870FB4" w:rsidRDefault="00870FB4" w:rsidP="00845A66">
      <w:pPr>
        <w:rPr>
          <w:rFonts w:hint="eastAsia"/>
        </w:rPr>
      </w:pPr>
    </w:p>
    <w:p w14:paraId="48040AEC" w14:textId="77777777" w:rsidR="00870FB4" w:rsidRPr="00870FB4" w:rsidRDefault="00870FB4" w:rsidP="00870FB4">
      <w:pPr>
        <w:pStyle w:val="ae"/>
        <w:rPr>
          <w:rFonts w:ascii="Times New Roman" w:hAnsi="Times New Roman"/>
          <w:b w:val="0"/>
          <w:bCs w:val="0"/>
          <w:color w:val="000000" w:themeColor="text1"/>
        </w:rPr>
      </w:pPr>
      <w:r w:rsidRPr="00870FB4">
        <w:rPr>
          <w:rFonts w:ascii="Times New Roman" w:hAnsi="Times New Roman"/>
          <w:b w:val="0"/>
          <w:bCs w:val="0"/>
          <w:color w:val="000000" w:themeColor="text1"/>
        </w:rPr>
        <w:t>Supplementary Table S7. Warehouse infrastructure and layout abstraction.</w:t>
      </w: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2"/>
        <w:gridCol w:w="2597"/>
        <w:gridCol w:w="2867"/>
      </w:tblGrid>
      <w:tr w:rsidR="00870FB4" w14:paraId="1C698EA0" w14:textId="77777777" w:rsidTr="003912F1">
        <w:trPr>
          <w:jc w:val="center"/>
        </w:trPr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23DDB1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Item</w:t>
            </w: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FCC6F7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Value</w:t>
            </w: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69A84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b/>
                <w:sz w:val="18"/>
                <w:szCs w:val="18"/>
              </w:rPr>
              <w:t>Notes</w:t>
            </w:r>
          </w:p>
        </w:tc>
      </w:tr>
      <w:tr w:rsidR="00870FB4" w14:paraId="17E38A3D" w14:textId="77777777" w:rsidTr="003912F1">
        <w:trPr>
          <w:jc w:val="center"/>
        </w:trPr>
        <w:tc>
          <w:tcPr>
            <w:tcW w:w="4987" w:type="dxa"/>
            <w:tcBorders>
              <w:top w:val="single" w:sz="4" w:space="0" w:color="auto"/>
            </w:tcBorders>
            <w:vAlign w:val="center"/>
            <w:hideMark/>
          </w:tcPr>
          <w:p w14:paraId="18915A02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AS/RS block configuration</w:t>
            </w:r>
          </w:p>
        </w:tc>
        <w:tc>
          <w:tcPr>
            <w:tcW w:w="4987" w:type="dxa"/>
            <w:tcBorders>
              <w:top w:val="single" w:sz="4" w:space="0" w:color="auto"/>
            </w:tcBorders>
            <w:vAlign w:val="center"/>
            <w:hideMark/>
          </w:tcPr>
          <w:p w14:paraId="1B36B5F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2 aisles × 1 ASC per aisle</w:t>
            </w:r>
          </w:p>
        </w:tc>
        <w:tc>
          <w:tcPr>
            <w:tcW w:w="4987" w:type="dxa"/>
            <w:tcBorders>
              <w:top w:val="single" w:sz="4" w:space="0" w:color="auto"/>
            </w:tcBorders>
            <w:vAlign w:val="center"/>
            <w:hideMark/>
          </w:tcPr>
          <w:p w14:paraId="1CEF001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Defines ASC service domains</w:t>
            </w:r>
          </w:p>
        </w:tc>
      </w:tr>
      <w:tr w:rsidR="00870FB4" w14:paraId="5406370C" w14:textId="77777777" w:rsidTr="003912F1">
        <w:trPr>
          <w:jc w:val="center"/>
        </w:trPr>
        <w:tc>
          <w:tcPr>
            <w:tcW w:w="4987" w:type="dxa"/>
            <w:vAlign w:val="center"/>
            <w:hideMark/>
          </w:tcPr>
          <w:p w14:paraId="0F3B00C2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Rack size</w:t>
            </w:r>
          </w:p>
        </w:tc>
        <w:tc>
          <w:tcPr>
            <w:tcW w:w="4987" w:type="dxa"/>
            <w:vAlign w:val="center"/>
            <w:hideMark/>
          </w:tcPr>
          <w:p w14:paraId="6598C799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~60 m aisle length; 20 levels; 40 bays/level</w:t>
            </w:r>
          </w:p>
        </w:tc>
        <w:tc>
          <w:tcPr>
            <w:tcW w:w="4987" w:type="dxa"/>
            <w:vAlign w:val="center"/>
            <w:hideMark/>
          </w:tcPr>
          <w:p w14:paraId="312E307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Representative ASC horizontal/vertical travel distances</w:t>
            </w:r>
          </w:p>
        </w:tc>
      </w:tr>
      <w:tr w:rsidR="00870FB4" w14:paraId="1421207A" w14:textId="77777777" w:rsidTr="003912F1">
        <w:trPr>
          <w:jc w:val="center"/>
        </w:trPr>
        <w:tc>
          <w:tcPr>
            <w:tcW w:w="4987" w:type="dxa"/>
            <w:vAlign w:val="center"/>
            <w:hideMark/>
          </w:tcPr>
          <w:p w14:paraId="0D7A9DD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I/O stations</w:t>
            </w:r>
          </w:p>
        </w:tc>
        <w:tc>
          <w:tcPr>
            <w:tcW w:w="4987" w:type="dxa"/>
            <w:vAlign w:val="center"/>
            <w:hideMark/>
          </w:tcPr>
          <w:p w14:paraId="34059905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2 (inbound and outbound)</w:t>
            </w:r>
          </w:p>
        </w:tc>
        <w:tc>
          <w:tcPr>
            <w:tcW w:w="4987" w:type="dxa"/>
            <w:vAlign w:val="center"/>
            <w:hideMark/>
          </w:tcPr>
          <w:p w14:paraId="55CC27D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Modeled as dedicated nodes in set</w:t>
            </w:r>
          </w:p>
        </w:tc>
      </w:tr>
      <w:tr w:rsidR="00870FB4" w14:paraId="5F7CBE0C" w14:textId="77777777" w:rsidTr="003912F1">
        <w:trPr>
          <w:jc w:val="center"/>
        </w:trPr>
        <w:tc>
          <w:tcPr>
            <w:tcW w:w="4987" w:type="dxa"/>
            <w:vAlign w:val="center"/>
          </w:tcPr>
          <w:p w14:paraId="55E792BB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87" w:type="dxa"/>
            <w:vAlign w:val="center"/>
          </w:tcPr>
          <w:p w14:paraId="2FF4E26E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87" w:type="dxa"/>
            <w:vAlign w:val="center"/>
          </w:tcPr>
          <w:p w14:paraId="609F6F46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</w:p>
        </w:tc>
      </w:tr>
      <w:tr w:rsidR="00870FB4" w14:paraId="769B2D71" w14:textId="77777777" w:rsidTr="003912F1">
        <w:trPr>
          <w:jc w:val="center"/>
        </w:trPr>
        <w:tc>
          <w:tcPr>
            <w:tcW w:w="4987" w:type="dxa"/>
            <w:vAlign w:val="center"/>
            <w:hideMark/>
          </w:tcPr>
          <w:p w14:paraId="4F93C89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Buffer/handshake zone</w:t>
            </w:r>
          </w:p>
        </w:tc>
        <w:tc>
          <w:tcPr>
            <w:tcW w:w="4987" w:type="dxa"/>
            <w:vAlign w:val="center"/>
            <w:hideMark/>
          </w:tcPr>
          <w:p w14:paraId="7383612F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Conveyor buffer between ASCs and AGVs</w:t>
            </w:r>
          </w:p>
        </w:tc>
        <w:tc>
          <w:tcPr>
            <w:tcW w:w="4987" w:type="dxa"/>
            <w:vAlign w:val="center"/>
            <w:hideMark/>
          </w:tcPr>
          <w:p w14:paraId="12342C7B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Modeled as buffer nodes with capacity constraint (5)</w:t>
            </w:r>
          </w:p>
        </w:tc>
      </w:tr>
      <w:tr w:rsidR="00870FB4" w14:paraId="57E60C72" w14:textId="77777777" w:rsidTr="003912F1">
        <w:trPr>
          <w:jc w:val="center"/>
        </w:trPr>
        <w:tc>
          <w:tcPr>
            <w:tcW w:w="4987" w:type="dxa"/>
            <w:vAlign w:val="center"/>
            <w:hideMark/>
          </w:tcPr>
          <w:p w14:paraId="3A2B422F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Buffer capacity</w:t>
            </w:r>
          </w:p>
        </w:tc>
        <w:tc>
          <w:tcPr>
            <w:tcW w:w="4987" w:type="dxa"/>
            <w:vAlign w:val="center"/>
            <w:hideMark/>
          </w:tcPr>
          <w:p w14:paraId="2896E1C3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Scenario-dependent (80/100/120 boxes)</w:t>
            </w:r>
          </w:p>
        </w:tc>
        <w:tc>
          <w:tcPr>
            <w:tcW w:w="4987" w:type="dxa"/>
            <w:vAlign w:val="center"/>
            <w:hideMark/>
          </w:tcPr>
          <w:p w14:paraId="3F5FC3C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Used in constraint (5)</w:t>
            </w:r>
          </w:p>
        </w:tc>
      </w:tr>
      <w:tr w:rsidR="00870FB4" w14:paraId="445372F7" w14:textId="77777777" w:rsidTr="003912F1">
        <w:trPr>
          <w:jc w:val="center"/>
        </w:trPr>
        <w:tc>
          <w:tcPr>
            <w:tcW w:w="4987" w:type="dxa"/>
            <w:vAlign w:val="center"/>
            <w:hideMark/>
          </w:tcPr>
          <w:p w14:paraId="2F784DE0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AGV guide-path network</w:t>
            </w:r>
          </w:p>
        </w:tc>
        <w:tc>
          <w:tcPr>
            <w:tcW w:w="4987" w:type="dxa"/>
            <w:vAlign w:val="center"/>
            <w:hideMark/>
          </w:tcPr>
          <w:p w14:paraId="355069C2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Indoor guide-path grid; scenario-dependent task nodes</w:t>
            </w:r>
          </w:p>
        </w:tc>
        <w:tc>
          <w:tcPr>
            <w:tcW w:w="4987" w:type="dxa"/>
            <w:vAlign w:val="center"/>
            <w:hideMark/>
          </w:tcPr>
          <w:p w14:paraId="68F61A14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Conflict and deadlock constraints follow (12) and (15)</w:t>
            </w:r>
          </w:p>
        </w:tc>
      </w:tr>
      <w:tr w:rsidR="00870FB4" w14:paraId="2AAC0D0C" w14:textId="77777777" w:rsidTr="003912F1">
        <w:trPr>
          <w:jc w:val="center"/>
        </w:trPr>
        <w:tc>
          <w:tcPr>
            <w:tcW w:w="4987" w:type="dxa"/>
            <w:tcBorders>
              <w:bottom w:val="single" w:sz="4" w:space="0" w:color="auto"/>
            </w:tcBorders>
            <w:vAlign w:val="center"/>
            <w:hideMark/>
          </w:tcPr>
          <w:p w14:paraId="506E57AE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Operating horizon</w:t>
            </w:r>
          </w:p>
        </w:tc>
        <w:tc>
          <w:tcPr>
            <w:tcW w:w="4987" w:type="dxa"/>
            <w:tcBorders>
              <w:bottom w:val="single" w:sz="4" w:space="0" w:color="auto"/>
            </w:tcBorders>
            <w:vAlign w:val="center"/>
            <w:hideMark/>
          </w:tcPr>
          <w:p w14:paraId="342681E8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1 workday (8 h) per scenario batch</w:t>
            </w:r>
          </w:p>
        </w:tc>
        <w:tc>
          <w:tcPr>
            <w:tcW w:w="4987" w:type="dxa"/>
            <w:tcBorders>
              <w:bottom w:val="single" w:sz="4" w:space="0" w:color="auto"/>
            </w:tcBorders>
            <w:vAlign w:val="center"/>
            <w:hideMark/>
          </w:tcPr>
          <w:p w14:paraId="44527700" w14:textId="77777777" w:rsidR="00870FB4" w:rsidRPr="00870FB4" w:rsidRDefault="00870FB4">
            <w:pPr>
              <w:jc w:val="center"/>
              <w:rPr>
                <w:rFonts w:ascii="Times New Roman" w:hAnsi="Times New Roman"/>
              </w:rPr>
            </w:pPr>
            <w:r w:rsidRPr="00870FB4">
              <w:rPr>
                <w:rFonts w:ascii="Times New Roman" w:hAnsi="Times New Roman"/>
                <w:sz w:val="18"/>
                <w:szCs w:val="18"/>
              </w:rPr>
              <w:t>Time limits correspond to constraints (10)</w:t>
            </w:r>
            <w:proofErr w:type="gramStart"/>
            <w:r w:rsidRPr="00870FB4">
              <w:rPr>
                <w:rFonts w:ascii="Times New Roman" w:hAnsi="Times New Roman"/>
                <w:sz w:val="18"/>
                <w:szCs w:val="18"/>
              </w:rPr>
              <w:t>–(</w:t>
            </w:r>
            <w:proofErr w:type="gramEnd"/>
            <w:r w:rsidRPr="00870FB4">
              <w:rPr>
                <w:rFonts w:ascii="Times New Roman" w:hAnsi="Times New Roman"/>
                <w:sz w:val="18"/>
                <w:szCs w:val="18"/>
              </w:rPr>
              <w:t>11).</w:t>
            </w:r>
          </w:p>
        </w:tc>
      </w:tr>
    </w:tbl>
    <w:p w14:paraId="6812397A" w14:textId="77777777" w:rsidR="00870FB4" w:rsidRPr="00870FB4" w:rsidRDefault="00870FB4" w:rsidP="003912F1">
      <w:pPr>
        <w:rPr>
          <w:rFonts w:hint="eastAsia"/>
        </w:rPr>
      </w:pPr>
    </w:p>
    <w:sectPr w:rsidR="00870FB4" w:rsidRPr="00870F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DD"/>
    <w:rsid w:val="001F45DD"/>
    <w:rsid w:val="003912F1"/>
    <w:rsid w:val="00397DFC"/>
    <w:rsid w:val="005274E2"/>
    <w:rsid w:val="00695232"/>
    <w:rsid w:val="00845A66"/>
    <w:rsid w:val="00870FB4"/>
    <w:rsid w:val="009B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3B14"/>
  <w15:chartTrackingRefBased/>
  <w15:docId w15:val="{46EA66EF-0EBB-494F-8138-E219B9C3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45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5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5D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5D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5D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5D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5D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5D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F45D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F4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F4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45D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45D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F45D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45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45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45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F45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F4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5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F45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4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F45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45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45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4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F45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45DD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99"/>
    <w:qFormat/>
    <w:rsid w:val="00845A66"/>
    <w:pPr>
      <w:widowControl/>
      <w:spacing w:before="100" w:beforeAutospacing="1" w:after="200" w:line="240" w:lineRule="auto"/>
    </w:pPr>
    <w:rPr>
      <w:rFonts w:ascii="Cambria" w:eastAsia="MS Mincho" w:hAnsi="Cambria" w:cs="Times New Roman"/>
      <w:b/>
      <w:bCs/>
      <w:color w:val="4F81BD"/>
      <w:kern w:val="0"/>
      <w:sz w:val="18"/>
      <w:szCs w:val="18"/>
      <w14:ligatures w14:val="none"/>
    </w:rPr>
  </w:style>
  <w:style w:type="table" w:styleId="af">
    <w:name w:val="Table Grid"/>
    <w:basedOn w:val="a1"/>
    <w:uiPriority w:val="99"/>
    <w:rsid w:val="00845A66"/>
    <w:pPr>
      <w:spacing w:after="0"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HA151376@365mak.com</dc:creator>
  <cp:keywords/>
  <dc:description/>
  <cp:lastModifiedBy>HA151376@365mak.com</cp:lastModifiedBy>
  <cp:revision>3</cp:revision>
  <dcterms:created xsi:type="dcterms:W3CDTF">2026-08-03T05:42:00Z</dcterms:created>
  <dcterms:modified xsi:type="dcterms:W3CDTF">2026-08-03T06:19:00Z</dcterms:modified>
</cp:coreProperties>
</file>