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C0E0" w14:textId="77777777" w:rsidR="0012258D" w:rsidRDefault="0012258D"/>
    <w:p w14:paraId="0D423236" w14:textId="77777777" w:rsidR="00152EF5" w:rsidRDefault="00152EF5" w:rsidP="00152EF5">
      <w:pPr>
        <w:spacing w:line="360" w:lineRule="auto"/>
        <w:ind w:firstLine="22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Differentiating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t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>ension-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t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ype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h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eadache and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m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igraine: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i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ntegrating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ognitive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d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eficits,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psychological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d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istress, and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p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ain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p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erception for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d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iagnostic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p</w:t>
      </w:r>
      <w:r w:rsidRPr="00352932">
        <w:rPr>
          <w:rFonts w:ascii="Times New Roman" w:eastAsia="Calibri" w:hAnsi="Times New Roman" w:cs="Times New Roman"/>
          <w:b/>
          <w:bCs/>
          <w:sz w:val="28"/>
          <w:szCs w:val="28"/>
        </w:rPr>
        <w:t>recision</w:t>
      </w:r>
    </w:p>
    <w:p w14:paraId="3F8CF88A" w14:textId="77777777" w:rsidR="00152EF5" w:rsidRPr="00E251A3" w:rsidRDefault="00152EF5" w:rsidP="00152EF5">
      <w:pPr>
        <w:spacing w:line="360" w:lineRule="auto"/>
        <w:ind w:firstLine="227"/>
        <w:jc w:val="center"/>
        <w:rPr>
          <w:rFonts w:ascii="Times New Roman" w:eastAsia="Calibri" w:hAnsi="Times New Roman" w:cs="Times New Roman"/>
          <w:i/>
          <w:iCs/>
          <w:szCs w:val="24"/>
          <w:vertAlign w:val="superscript"/>
        </w:rPr>
      </w:pPr>
      <w:r w:rsidRPr="00E251A3">
        <w:rPr>
          <w:rFonts w:ascii="Times New Roman" w:eastAsia="Calibri" w:hAnsi="Times New Roman" w:cs="Times New Roman"/>
          <w:i/>
          <w:iCs/>
          <w:szCs w:val="24"/>
        </w:rPr>
        <w:t>Maryam Shamsaei</w:t>
      </w:r>
      <w:r w:rsidRPr="00E251A3">
        <w:rPr>
          <w:rFonts w:ascii="Times New Roman" w:eastAsia="Calibri" w:hAnsi="Times New Roman" w:cs="Times New Roman"/>
          <w:i/>
          <w:iCs/>
          <w:szCs w:val="24"/>
          <w:vertAlign w:val="superscript"/>
        </w:rPr>
        <w:t>1</w:t>
      </w:r>
      <w:r w:rsidRPr="00E251A3">
        <w:rPr>
          <w:rFonts w:ascii="Times New Roman" w:eastAsia="Calibri" w:hAnsi="Times New Roman" w:cs="Times New Roman"/>
          <w:i/>
          <w:iCs/>
          <w:szCs w:val="24"/>
        </w:rPr>
        <w:t>, Seyed Ruhollah Hosseini</w:t>
      </w:r>
      <w:r w:rsidRPr="00E251A3">
        <w:rPr>
          <w:rFonts w:ascii="Times New Roman" w:eastAsia="Calibri" w:hAnsi="Times New Roman" w:cs="Times New Roman"/>
          <w:i/>
          <w:iCs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i/>
          <w:iCs/>
          <w:szCs w:val="24"/>
          <w:vertAlign w:val="superscript"/>
        </w:rPr>
        <w:t>*</w:t>
      </w:r>
      <w:r w:rsidRPr="00E251A3">
        <w:rPr>
          <w:rFonts w:ascii="Times New Roman" w:eastAsia="Calibri" w:hAnsi="Times New Roman" w:cs="Times New Roman"/>
          <w:i/>
          <w:iCs/>
          <w:szCs w:val="24"/>
        </w:rPr>
        <w:t>, Abbas Firoozabadi</w:t>
      </w:r>
      <w:r w:rsidRPr="00E251A3">
        <w:rPr>
          <w:rFonts w:ascii="Times New Roman" w:eastAsia="Calibri" w:hAnsi="Times New Roman" w:cs="Times New Roman"/>
          <w:i/>
          <w:iCs/>
          <w:szCs w:val="24"/>
          <w:vertAlign w:val="superscript"/>
        </w:rPr>
        <w:t>1</w:t>
      </w:r>
      <w:r w:rsidRPr="00E251A3">
        <w:rPr>
          <w:rFonts w:ascii="Times New Roman" w:eastAsia="Calibri" w:hAnsi="Times New Roman" w:cs="Times New Roman"/>
          <w:i/>
          <w:iCs/>
          <w:szCs w:val="24"/>
        </w:rPr>
        <w:t xml:space="preserve">, </w:t>
      </w:r>
      <w:r w:rsidRPr="001677A8">
        <w:rPr>
          <w:rFonts w:ascii="Times New Roman" w:eastAsia="Calibri" w:hAnsi="Times New Roman" w:cs="Times New Roman"/>
          <w:i/>
          <w:iCs/>
          <w:szCs w:val="24"/>
        </w:rPr>
        <w:t xml:space="preserve">Kazem </w:t>
      </w:r>
      <w:proofErr w:type="spellStart"/>
      <w:r w:rsidRPr="001677A8">
        <w:rPr>
          <w:rFonts w:ascii="Times New Roman" w:eastAsia="Calibri" w:hAnsi="Times New Roman" w:cs="Times New Roman"/>
          <w:i/>
          <w:iCs/>
          <w:szCs w:val="24"/>
        </w:rPr>
        <w:t>Rasoulzadeh</w:t>
      </w:r>
      <w:proofErr w:type="spellEnd"/>
      <w:r w:rsidRPr="001677A8">
        <w:rPr>
          <w:rFonts w:ascii="Times New Roman" w:eastAsia="Calibri" w:hAnsi="Times New Roman" w:cs="Times New Roman"/>
          <w:i/>
          <w:iCs/>
          <w:szCs w:val="24"/>
        </w:rPr>
        <w:t xml:space="preserve"> </w:t>
      </w:r>
      <w:r w:rsidRPr="00EA681F">
        <w:rPr>
          <w:rFonts w:ascii="Times New Roman" w:eastAsia="Calibri" w:hAnsi="Times New Roman" w:cs="Times New Roman"/>
          <w:i/>
          <w:iCs/>
          <w:szCs w:val="24"/>
        </w:rPr>
        <w:t>Tabatabaei</w:t>
      </w:r>
      <w:r w:rsidRPr="00EA681F">
        <w:rPr>
          <w:rFonts w:ascii="Times New Roman" w:eastAsia="Calibri" w:hAnsi="Times New Roman" w:cs="Times New Roman"/>
          <w:i/>
          <w:iCs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i/>
          <w:iCs/>
          <w:szCs w:val="24"/>
        </w:rPr>
        <w:t xml:space="preserve">, </w:t>
      </w:r>
      <w:r w:rsidRPr="00EA681F">
        <w:rPr>
          <w:rFonts w:ascii="Times New Roman" w:eastAsia="Calibri" w:hAnsi="Times New Roman" w:cs="Times New Roman"/>
          <w:i/>
          <w:iCs/>
          <w:szCs w:val="24"/>
        </w:rPr>
        <w:t>Majid</w:t>
      </w:r>
      <w:r w:rsidRPr="00E251A3">
        <w:rPr>
          <w:rFonts w:ascii="Times New Roman" w:eastAsia="Calibri" w:hAnsi="Times New Roman" w:cs="Times New Roman"/>
          <w:i/>
          <w:iCs/>
          <w:szCs w:val="24"/>
        </w:rPr>
        <w:t xml:space="preserve"> Saberi</w:t>
      </w:r>
      <w:r w:rsidRPr="00E251A3">
        <w:rPr>
          <w:rFonts w:ascii="Times New Roman" w:eastAsia="Calibri" w:hAnsi="Times New Roman" w:cs="Times New Roman"/>
          <w:i/>
          <w:iCs/>
          <w:szCs w:val="24"/>
          <w:vertAlign w:val="superscript"/>
        </w:rPr>
        <w:t>2</w:t>
      </w:r>
    </w:p>
    <w:p w14:paraId="1E27A572" w14:textId="77777777" w:rsidR="00152EF5" w:rsidRDefault="00152EF5" w:rsidP="00152EF5">
      <w:pPr>
        <w:spacing w:line="259" w:lineRule="auto"/>
        <w:jc w:val="center"/>
        <w:rPr>
          <w:rFonts w:ascii="Times New Roman" w:eastAsia="Calibri" w:hAnsi="Times New Roman" w:cs="Times New Roman"/>
          <w:i/>
          <w:iCs/>
          <w:szCs w:val="24"/>
          <w:lang w:bidi="fa-IR"/>
        </w:rPr>
      </w:pPr>
      <w:r w:rsidRPr="00603ACD">
        <w:rPr>
          <w:rFonts w:ascii="Times New Roman" w:eastAsia="Calibri" w:hAnsi="Times New Roman" w:cs="Times New Roman"/>
          <w:i/>
          <w:iCs/>
          <w:szCs w:val="24"/>
          <w:vertAlign w:val="superscript"/>
          <w:lang w:bidi="fa-IR"/>
        </w:rPr>
        <w:t>1</w:t>
      </w:r>
      <w:r w:rsidRPr="00E251A3">
        <w:rPr>
          <w:rFonts w:ascii="Times New Roman" w:eastAsia="Calibri" w:hAnsi="Times New Roman" w:cs="Times New Roman"/>
          <w:i/>
          <w:iCs/>
          <w:szCs w:val="24"/>
          <w:lang w:bidi="fa-IR"/>
        </w:rPr>
        <w:t>Department of Psychology,</w:t>
      </w:r>
      <w:r w:rsidRPr="00AC454B">
        <w:rPr>
          <w:rFonts w:ascii="Times New Roman" w:eastAsia="Calibri" w:hAnsi="Times New Roman" w:cs="Times New Roman"/>
          <w:i/>
          <w:iCs/>
          <w:szCs w:val="24"/>
          <w:lang w:bidi="fa-IR"/>
        </w:rPr>
        <w:t xml:space="preserve"> Faculty of </w:t>
      </w:r>
      <w:r>
        <w:rPr>
          <w:rFonts w:ascii="Times New Roman" w:eastAsia="Calibri" w:hAnsi="Times New Roman" w:cs="Times New Roman"/>
          <w:i/>
          <w:iCs/>
          <w:szCs w:val="24"/>
          <w:lang w:bidi="fa-IR"/>
        </w:rPr>
        <w:t>E</w:t>
      </w:r>
      <w:r w:rsidRPr="00AC454B">
        <w:rPr>
          <w:rFonts w:ascii="Times New Roman" w:eastAsia="Calibri" w:hAnsi="Times New Roman" w:cs="Times New Roman"/>
          <w:i/>
          <w:iCs/>
          <w:szCs w:val="24"/>
          <w:lang w:bidi="fa-IR"/>
        </w:rPr>
        <w:t xml:space="preserve">ducation </w:t>
      </w:r>
      <w:r>
        <w:rPr>
          <w:rFonts w:ascii="Times New Roman" w:eastAsia="Calibri" w:hAnsi="Times New Roman" w:cs="Times New Roman"/>
          <w:i/>
          <w:iCs/>
          <w:szCs w:val="24"/>
          <w:lang w:bidi="fa-IR"/>
        </w:rPr>
        <w:t>S</w:t>
      </w:r>
      <w:r w:rsidRPr="00AC454B">
        <w:rPr>
          <w:rFonts w:ascii="Times New Roman" w:eastAsia="Calibri" w:hAnsi="Times New Roman" w:cs="Times New Roman"/>
          <w:i/>
          <w:iCs/>
          <w:szCs w:val="24"/>
          <w:lang w:bidi="fa-IR"/>
        </w:rPr>
        <w:t xml:space="preserve">ciences and Psychology, </w:t>
      </w:r>
      <w:r w:rsidRPr="00E251A3">
        <w:rPr>
          <w:rFonts w:ascii="Times New Roman" w:eastAsia="Calibri" w:hAnsi="Times New Roman" w:cs="Times New Roman"/>
          <w:i/>
          <w:iCs/>
          <w:szCs w:val="24"/>
          <w:lang w:bidi="fa-IR"/>
        </w:rPr>
        <w:t>Ferdowsi University of Mashhad, Mashhad, Iran</w:t>
      </w:r>
      <w:r w:rsidRPr="00E251A3">
        <w:rPr>
          <w:rFonts w:ascii="Times New Roman" w:eastAsia="Calibri" w:hAnsi="Times New Roman" w:cs="Times New Roman"/>
          <w:i/>
          <w:iCs/>
          <w:szCs w:val="24"/>
        </w:rPr>
        <w:br/>
      </w:r>
      <w:r w:rsidRPr="00E251A3">
        <w:rPr>
          <w:rFonts w:ascii="Times New Roman" w:eastAsia="Calibri" w:hAnsi="Times New Roman" w:cs="Times New Roman"/>
          <w:i/>
          <w:iCs/>
          <w:szCs w:val="24"/>
          <w:vertAlign w:val="superscript"/>
          <w:lang w:bidi="fa-IR"/>
        </w:rPr>
        <w:t>2</w:t>
      </w:r>
      <w:r w:rsidRPr="00F6612B">
        <w:t xml:space="preserve"> </w:t>
      </w:r>
      <w:r w:rsidRPr="00F6612B">
        <w:rPr>
          <w:rFonts w:ascii="Times New Roman" w:eastAsia="Calibri" w:hAnsi="Times New Roman" w:cs="Times New Roman"/>
          <w:i/>
          <w:iCs/>
          <w:szCs w:val="24"/>
          <w:lang w:bidi="fa-IR"/>
        </w:rPr>
        <w:t>Neurosciences &amp; Mental Health, SickKids Research Institute, Toronto ON, Canada</w:t>
      </w:r>
    </w:p>
    <w:p w14:paraId="7202BBAF" w14:textId="77777777" w:rsidR="00152EF5" w:rsidRPr="00E251A3" w:rsidRDefault="00152EF5" w:rsidP="00152EF5">
      <w:pPr>
        <w:spacing w:line="259" w:lineRule="auto"/>
        <w:jc w:val="center"/>
        <w:rPr>
          <w:rFonts w:ascii="Times New Roman" w:eastAsia="Calibri" w:hAnsi="Times New Roman" w:cs="Times New Roman"/>
          <w:i/>
          <w:iCs/>
          <w:szCs w:val="24"/>
          <w:rtl/>
          <w:lang w:bidi="fa-IR"/>
        </w:rPr>
      </w:pPr>
      <w:r>
        <w:rPr>
          <w:rFonts w:ascii="Times New Roman" w:eastAsia="Calibri" w:hAnsi="Times New Roman" w:cs="Times New Roman"/>
          <w:i/>
          <w:iCs/>
          <w:szCs w:val="24"/>
          <w:lang w:bidi="fa-IR"/>
        </w:rPr>
        <w:t xml:space="preserve">* Corresponding author: </w:t>
      </w:r>
      <w:r w:rsidRPr="008B32FD">
        <w:rPr>
          <w:rFonts w:ascii="Times New Roman" w:eastAsia="Calibri" w:hAnsi="Times New Roman" w:cs="Times New Roman"/>
          <w:i/>
          <w:iCs/>
          <w:szCs w:val="24"/>
          <w:lang w:bidi="fa-IR"/>
        </w:rPr>
        <w:t>r_hosseini@um.ac.ir</w:t>
      </w:r>
    </w:p>
    <w:p w14:paraId="4CF09FDC" w14:textId="77777777" w:rsidR="001E0580" w:rsidRDefault="001E0580" w:rsidP="001E0580">
      <w:pPr>
        <w:spacing w:line="259" w:lineRule="auto"/>
        <w:jc w:val="center"/>
        <w:rPr>
          <w:rFonts w:eastAsia="Calibri" w:cstheme="majorBidi"/>
          <w:b/>
          <w:bCs/>
          <w:sz w:val="20"/>
          <w:szCs w:val="20"/>
        </w:rPr>
      </w:pPr>
    </w:p>
    <w:p w14:paraId="4631A2B3" w14:textId="77777777" w:rsidR="001E0580" w:rsidRDefault="001E0580" w:rsidP="001E0580">
      <w:pPr>
        <w:spacing w:line="259" w:lineRule="auto"/>
        <w:jc w:val="center"/>
        <w:rPr>
          <w:rFonts w:eastAsia="Calibri" w:cstheme="majorBidi"/>
          <w:b/>
          <w:bCs/>
          <w:sz w:val="20"/>
          <w:szCs w:val="20"/>
        </w:rPr>
      </w:pPr>
    </w:p>
    <w:p w14:paraId="3AD51A9C" w14:textId="77777777" w:rsidR="001E0580" w:rsidRPr="00640C92" w:rsidRDefault="001E0580" w:rsidP="00640C92">
      <w:pPr>
        <w:spacing w:line="259" w:lineRule="auto"/>
        <w:jc w:val="center"/>
        <w:rPr>
          <w:rFonts w:ascii="Times New Roman" w:eastAsia="Calibri" w:hAnsi="Times New Roman" w:cs="Times New Roman"/>
          <w:i/>
          <w:iCs/>
          <w:szCs w:val="24"/>
          <w:lang w:bidi="fa-IR"/>
        </w:rPr>
      </w:pPr>
    </w:p>
    <w:tbl>
      <w:tblPr>
        <w:tblStyle w:val="TableGrid"/>
        <w:tblW w:w="10571" w:type="dxa"/>
        <w:jc w:val="center"/>
        <w:tblLook w:val="04A0" w:firstRow="1" w:lastRow="0" w:firstColumn="1" w:lastColumn="0" w:noHBand="0" w:noVBand="1"/>
      </w:tblPr>
      <w:tblGrid>
        <w:gridCol w:w="3426"/>
        <w:gridCol w:w="3522"/>
        <w:gridCol w:w="3623"/>
      </w:tblGrid>
      <w:tr w:rsidR="00EF3CF8" w14:paraId="091BC0F4" w14:textId="77777777" w:rsidTr="00EF3CF8">
        <w:trPr>
          <w:trHeight w:val="3239"/>
          <w:jc w:val="center"/>
        </w:trPr>
        <w:tc>
          <w:tcPr>
            <w:tcW w:w="3426" w:type="dxa"/>
            <w:vAlign w:val="center"/>
          </w:tcPr>
          <w:p w14:paraId="091BC0F1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.3pt;height:159.15pt">
                  <v:imagedata r:id="rId5" o:title="anxiety_vs_accuracy2back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0F2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B">
                <v:shape id="_x0000_i1026" type="#_x0000_t75" style="width:155.5pt;height:159.15pt">
                  <v:imagedata r:id="rId6" o:title="anxiety_vs_accuracygo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0F3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C">
                <v:shape id="_x0000_i1027" type="#_x0000_t75" style="width:166.4pt;height:165.2pt">
                  <v:imagedata r:id="rId7" o:title="anxiety_vs_happyab_plot"/>
                </v:shape>
              </w:pict>
            </w:r>
          </w:p>
        </w:tc>
      </w:tr>
      <w:tr w:rsidR="00EF3CF8" w14:paraId="091BC0F8" w14:textId="77777777" w:rsidTr="00EF3CF8">
        <w:trPr>
          <w:trHeight w:val="3373"/>
          <w:jc w:val="center"/>
        </w:trPr>
        <w:tc>
          <w:tcPr>
            <w:tcW w:w="3426" w:type="dxa"/>
            <w:vAlign w:val="center"/>
          </w:tcPr>
          <w:p w14:paraId="091BC0F5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D">
                <v:shape id="_x0000_i1028" type="#_x0000_t75" style="width:160.35pt;height:164.55pt">
                  <v:imagedata r:id="rId8" o:title="anxiety_vs_painab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0F6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E">
                <v:shape id="_x0000_i1029" type="#_x0000_t75" style="width:160.95pt;height:160.35pt">
                  <v:imagedata r:id="rId9" o:title="anxiety_vs_rtinhibition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0F7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4F">
                <v:shape id="_x0000_i1030" type="#_x0000_t75" style="width:167pt;height:169.4pt">
                  <v:imagedata r:id="rId10" o:title="anxiety_vs_rtmemory_plot"/>
                </v:shape>
              </w:pict>
            </w:r>
          </w:p>
        </w:tc>
      </w:tr>
      <w:tr w:rsidR="00EF3CF8" w14:paraId="091BC0FC" w14:textId="77777777" w:rsidTr="00EF3CF8">
        <w:trPr>
          <w:trHeight w:val="3170"/>
          <w:jc w:val="center"/>
        </w:trPr>
        <w:tc>
          <w:tcPr>
            <w:tcW w:w="3426" w:type="dxa"/>
            <w:vAlign w:val="center"/>
          </w:tcPr>
          <w:p w14:paraId="091BC0F9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0">
                <v:shape id="_x0000_i1031" type="#_x0000_t75" style="width:154.9pt;height:153.1pt">
                  <v:imagedata r:id="rId11" o:title="depression_vs_accuracy2back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0FA" w14:textId="77777777" w:rsidR="0080378A" w:rsidRDefault="009A2EF4" w:rsidP="00EF3CF8">
            <w:pPr>
              <w:spacing w:after="0" w:line="240" w:lineRule="auto"/>
              <w:ind w:hanging="168"/>
              <w:jc w:val="center"/>
            </w:pPr>
            <w:r>
              <w:pict w14:anchorId="091BC251">
                <v:shape id="_x0000_i1032" type="#_x0000_t75" style="width:155.5pt;height:160.35pt">
                  <v:imagedata r:id="rId12" o:title="depression_vs_accuracygo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0FB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2">
                <v:shape id="_x0000_i1033" type="#_x0000_t75" style="width:151.85pt;height:156.1pt">
                  <v:imagedata r:id="rId13" o:title="depression_vs_happyab_plot"/>
                </v:shape>
              </w:pict>
            </w:r>
          </w:p>
        </w:tc>
      </w:tr>
      <w:tr w:rsidR="00EF3CF8" w14:paraId="091BC100" w14:textId="77777777" w:rsidTr="00EF3CF8">
        <w:trPr>
          <w:trHeight w:val="3445"/>
          <w:jc w:val="center"/>
        </w:trPr>
        <w:tc>
          <w:tcPr>
            <w:tcW w:w="3426" w:type="dxa"/>
            <w:vAlign w:val="center"/>
          </w:tcPr>
          <w:p w14:paraId="091BC0FD" w14:textId="77777777" w:rsidR="0080378A" w:rsidRDefault="009A2EF4" w:rsidP="00EF3CF8">
            <w:pPr>
              <w:spacing w:after="0" w:line="240" w:lineRule="auto"/>
              <w:ind w:hanging="113"/>
              <w:jc w:val="center"/>
            </w:pPr>
            <w:r>
              <w:lastRenderedPageBreak/>
              <w:pict w14:anchorId="091BC253">
                <v:shape id="_x0000_i1034" type="#_x0000_t75" style="width:153.1pt;height:160.35pt">
                  <v:imagedata r:id="rId14" o:title="depression_vs_painab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0FE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4">
                <v:shape id="_x0000_i1035" type="#_x0000_t75" style="width:159.15pt;height:164.55pt">
                  <v:imagedata r:id="rId15" o:title="depression_vs_rtinhibition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0FF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5">
                <v:shape id="_x0000_i1036" type="#_x0000_t75" style="width:166.4pt;height:177.9pt">
                  <v:imagedata r:id="rId16" o:title="depression_vs_rtmemory_plot"/>
                </v:shape>
              </w:pict>
            </w:r>
          </w:p>
        </w:tc>
      </w:tr>
      <w:tr w:rsidR="00EF3CF8" w14:paraId="091BC104" w14:textId="77777777" w:rsidTr="00EF3CF8">
        <w:trPr>
          <w:trHeight w:val="3445"/>
          <w:jc w:val="center"/>
        </w:trPr>
        <w:tc>
          <w:tcPr>
            <w:tcW w:w="3426" w:type="dxa"/>
            <w:vAlign w:val="center"/>
          </w:tcPr>
          <w:p w14:paraId="091BC101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6">
                <v:shape id="_x0000_i1037" type="#_x0000_t75" style="width:156.1pt;height:162.75pt">
                  <v:imagedata r:id="rId17" o:title="stress_vs_accuracy2back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102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7">
                <v:shape id="_x0000_i1038" type="#_x0000_t75" style="width:165.2pt;height:167.6pt">
                  <v:imagedata r:id="rId18" o:title="stress_vs_accuracygo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103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8">
                <v:shape id="_x0000_i1039" type="#_x0000_t75" style="width:162.15pt;height:170pt">
                  <v:imagedata r:id="rId19" o:title="stress_vs_happyab_plot"/>
                </v:shape>
              </w:pict>
            </w:r>
          </w:p>
        </w:tc>
      </w:tr>
      <w:tr w:rsidR="00EF3CF8" w14:paraId="091BC108" w14:textId="77777777" w:rsidTr="00EF3CF8">
        <w:trPr>
          <w:trHeight w:val="3541"/>
          <w:jc w:val="center"/>
        </w:trPr>
        <w:tc>
          <w:tcPr>
            <w:tcW w:w="3426" w:type="dxa"/>
            <w:vAlign w:val="center"/>
          </w:tcPr>
          <w:p w14:paraId="091BC105" w14:textId="77777777" w:rsidR="0080378A" w:rsidRDefault="009A2EF4" w:rsidP="00EF3CF8">
            <w:pPr>
              <w:spacing w:after="0" w:line="240" w:lineRule="auto"/>
              <w:ind w:hanging="113"/>
              <w:jc w:val="center"/>
            </w:pPr>
            <w:r>
              <w:pict w14:anchorId="091BC259">
                <v:shape id="_x0000_i1040" type="#_x0000_t75" style="width:159.75pt;height:167pt">
                  <v:imagedata r:id="rId20" o:title="stress_vs_painab_plot"/>
                </v:shape>
              </w:pict>
            </w:r>
          </w:p>
        </w:tc>
        <w:tc>
          <w:tcPr>
            <w:tcW w:w="3522" w:type="dxa"/>
            <w:vAlign w:val="center"/>
          </w:tcPr>
          <w:p w14:paraId="091BC106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A">
                <v:shape id="_x0000_i1041" type="#_x0000_t75" style="width:158.5pt;height:163.35pt">
                  <v:imagedata r:id="rId21" o:title="stress_vs_rtinhibition_plot"/>
                </v:shape>
              </w:pict>
            </w:r>
          </w:p>
        </w:tc>
        <w:tc>
          <w:tcPr>
            <w:tcW w:w="3623" w:type="dxa"/>
            <w:vAlign w:val="center"/>
          </w:tcPr>
          <w:p w14:paraId="091BC107" w14:textId="77777777" w:rsidR="0080378A" w:rsidRDefault="009A2EF4" w:rsidP="0080378A">
            <w:pPr>
              <w:spacing w:after="0" w:line="240" w:lineRule="auto"/>
              <w:jc w:val="center"/>
            </w:pPr>
            <w:r>
              <w:pict w14:anchorId="091BC25B">
                <v:shape id="_x0000_i1042" type="#_x0000_t75" style="width:170.6pt;height:177.9pt">
                  <v:imagedata r:id="rId22" o:title="stress_vs_rtmemory_plot"/>
                </v:shape>
              </w:pict>
            </w:r>
          </w:p>
        </w:tc>
      </w:tr>
    </w:tbl>
    <w:p w14:paraId="589A42CD" w14:textId="075FF680" w:rsidR="00640C92" w:rsidRDefault="00EF3CF8" w:rsidP="001E0580">
      <w:pPr>
        <w:spacing w:after="200" w:line="240" w:lineRule="auto"/>
        <w:jc w:val="both"/>
        <w:rPr>
          <w:bCs/>
          <w:iCs/>
          <w:sz w:val="20"/>
          <w:szCs w:val="20"/>
          <w:lang w:bidi="fa-IR"/>
        </w:rPr>
      </w:pPr>
      <w:r w:rsidRPr="00E251A3">
        <w:rPr>
          <w:b/>
          <w:iCs/>
          <w:sz w:val="20"/>
          <w:szCs w:val="20"/>
        </w:rPr>
        <w:t>Fig</w:t>
      </w:r>
      <w:r w:rsidR="000518A4">
        <w:rPr>
          <w:b/>
          <w:iCs/>
          <w:sz w:val="20"/>
          <w:szCs w:val="20"/>
        </w:rPr>
        <w:t>ure</w:t>
      </w:r>
      <w:r w:rsidRPr="00E251A3">
        <w:rPr>
          <w:b/>
          <w:iCs/>
          <w:sz w:val="20"/>
          <w:szCs w:val="20"/>
        </w:rPr>
        <w:t xml:space="preserve"> </w:t>
      </w:r>
      <w:r w:rsidR="0030253F">
        <w:rPr>
          <w:b/>
          <w:iCs/>
          <w:sz w:val="20"/>
          <w:szCs w:val="20"/>
        </w:rPr>
        <w:t>S</w:t>
      </w:r>
      <w:r w:rsidRPr="00E251A3">
        <w:rPr>
          <w:b/>
          <w:iCs/>
          <w:sz w:val="20"/>
          <w:szCs w:val="20"/>
        </w:rPr>
        <w:fldChar w:fldCharType="begin"/>
      </w:r>
      <w:r w:rsidRPr="00E251A3">
        <w:rPr>
          <w:b/>
          <w:iCs/>
          <w:sz w:val="20"/>
          <w:szCs w:val="20"/>
        </w:rPr>
        <w:instrText xml:space="preserve"> SEQ Fig. \* ARABIC </w:instrText>
      </w:r>
      <w:r w:rsidRPr="00E251A3">
        <w:rPr>
          <w:b/>
          <w:iCs/>
          <w:sz w:val="20"/>
          <w:szCs w:val="20"/>
        </w:rPr>
        <w:fldChar w:fldCharType="separate"/>
      </w:r>
      <w:r w:rsidR="00640C92">
        <w:rPr>
          <w:b/>
          <w:iCs/>
          <w:noProof/>
          <w:sz w:val="20"/>
          <w:szCs w:val="20"/>
        </w:rPr>
        <w:t>1</w:t>
      </w:r>
      <w:r w:rsidRPr="00E251A3">
        <w:rPr>
          <w:b/>
          <w:iCs/>
          <w:noProof/>
          <w:sz w:val="20"/>
          <w:szCs w:val="20"/>
        </w:rPr>
        <w:fldChar w:fldCharType="end"/>
      </w:r>
      <w:r w:rsidRPr="00E251A3">
        <w:rPr>
          <w:b/>
          <w:iCs/>
          <w:sz w:val="20"/>
          <w:szCs w:val="20"/>
        </w:rPr>
        <w:t xml:space="preserve">. </w:t>
      </w:r>
      <w:r w:rsidR="000518A4" w:rsidRPr="000518A4">
        <w:rPr>
          <w:bCs/>
          <w:iCs/>
          <w:sz w:val="20"/>
          <w:szCs w:val="20"/>
        </w:rPr>
        <w:t>Comparative analysis of two headache types: The relationship between mental stress and cognitive functions.</w:t>
      </w:r>
      <w:r w:rsidR="0008182B" w:rsidRPr="0008182B">
        <w:rPr>
          <w:bCs/>
          <w:iCs/>
          <w:sz w:val="20"/>
          <w:szCs w:val="20"/>
        </w:rPr>
        <w:t xml:space="preserve"> The comparison highlights how each type of headache correlates with cognitive deficits and mental stress levels</w:t>
      </w:r>
      <w:r w:rsidR="0008182B">
        <w:rPr>
          <w:bCs/>
          <w:iCs/>
          <w:sz w:val="20"/>
          <w:szCs w:val="20"/>
        </w:rPr>
        <w:t>.</w:t>
      </w:r>
    </w:p>
    <w:p w14:paraId="0AE7D5A4" w14:textId="77777777" w:rsidR="001E0580" w:rsidRPr="00E251A3" w:rsidRDefault="001E0580" w:rsidP="001E0580">
      <w:pPr>
        <w:spacing w:after="200" w:line="240" w:lineRule="auto"/>
        <w:jc w:val="both"/>
        <w:rPr>
          <w:bCs/>
          <w:iCs/>
          <w:sz w:val="20"/>
          <w:szCs w:val="20"/>
          <w:lang w:bidi="fa-IR"/>
        </w:rPr>
      </w:pP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3478"/>
        <w:gridCol w:w="3605"/>
      </w:tblGrid>
      <w:tr w:rsidR="008D26FC" w14:paraId="091BC10E" w14:textId="77777777" w:rsidTr="008D26FC">
        <w:trPr>
          <w:trHeight w:val="3317"/>
          <w:jc w:val="center"/>
        </w:trPr>
        <w:tc>
          <w:tcPr>
            <w:tcW w:w="3544" w:type="dxa"/>
            <w:vAlign w:val="center"/>
          </w:tcPr>
          <w:p w14:paraId="091BC10B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5C">
                <v:shape id="_x0000_i1043" type="#_x0000_t75" style="width:154.3pt;height:159.75pt">
                  <v:imagedata r:id="rId23" o:title="duration_vs_accuracy2back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0C" w14:textId="77777777" w:rsidR="00EF3CF8" w:rsidRDefault="009A2EF4" w:rsidP="008D26FC">
            <w:pPr>
              <w:spacing w:after="0" w:line="240" w:lineRule="auto"/>
              <w:ind w:hanging="55"/>
              <w:jc w:val="center"/>
            </w:pPr>
            <w:r>
              <w:pict w14:anchorId="091BC25D">
                <v:shape id="_x0000_i1044" type="#_x0000_t75" style="width:165.8pt;height:166.4pt">
                  <v:imagedata r:id="rId24" o:title="duration_vs_accuracygo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0D" w14:textId="77777777" w:rsidR="00EF3CF8" w:rsidRDefault="009A2EF4" w:rsidP="008D26FC">
            <w:pPr>
              <w:spacing w:after="0" w:line="240" w:lineRule="auto"/>
            </w:pPr>
            <w:r>
              <w:pict w14:anchorId="091BC25E">
                <v:shape id="_x0000_i1045" type="#_x0000_t75" style="width:161.55pt;height:165.2pt">
                  <v:imagedata r:id="rId25" o:title="duration_vs_happyab_plot"/>
                </v:shape>
              </w:pict>
            </w:r>
          </w:p>
        </w:tc>
      </w:tr>
      <w:tr w:rsidR="008D26FC" w14:paraId="091BC112" w14:textId="77777777" w:rsidTr="008D26FC">
        <w:trPr>
          <w:trHeight w:val="279"/>
          <w:jc w:val="center"/>
        </w:trPr>
        <w:tc>
          <w:tcPr>
            <w:tcW w:w="3544" w:type="dxa"/>
            <w:vAlign w:val="center"/>
          </w:tcPr>
          <w:p w14:paraId="091BC10F" w14:textId="77777777" w:rsidR="00EF3CF8" w:rsidRDefault="009A2EF4" w:rsidP="00EF3CF8">
            <w:pPr>
              <w:spacing w:after="0" w:line="240" w:lineRule="auto"/>
              <w:jc w:val="center"/>
            </w:pPr>
            <w:r>
              <w:lastRenderedPageBreak/>
              <w:pict w14:anchorId="091BC25F">
                <v:shape id="_x0000_i1046" type="#_x0000_t75" style="width:154.3pt;height:160.95pt">
                  <v:imagedata r:id="rId26" o:title="duration_vs_painab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10" w14:textId="77777777" w:rsidR="00EF3CF8" w:rsidRDefault="009A2EF4" w:rsidP="008D26FC">
            <w:pPr>
              <w:spacing w:after="0" w:line="240" w:lineRule="auto"/>
              <w:ind w:hanging="113"/>
              <w:jc w:val="center"/>
            </w:pPr>
            <w:r>
              <w:pict w14:anchorId="091BC260">
                <v:shape id="_x0000_i1047" type="#_x0000_t75" style="width:153.1pt;height:159.75pt">
                  <v:imagedata r:id="rId27" o:title="duration_vs_rtinhibition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11" w14:textId="77777777" w:rsidR="00EF3CF8" w:rsidRDefault="009A2EF4" w:rsidP="008D26FC">
            <w:pPr>
              <w:spacing w:after="0" w:line="240" w:lineRule="auto"/>
              <w:ind w:hanging="331"/>
              <w:jc w:val="center"/>
            </w:pPr>
            <w:r>
              <w:pict w14:anchorId="091BC261">
                <v:shape id="_x0000_i1048" type="#_x0000_t75" style="width:159.75pt;height:165.2pt">
                  <v:imagedata r:id="rId28" o:title="duration_vs_RTMemory_plot"/>
                </v:shape>
              </w:pict>
            </w:r>
          </w:p>
        </w:tc>
      </w:tr>
      <w:tr w:rsidR="008D26FC" w14:paraId="091BC116" w14:textId="77777777" w:rsidTr="008D26FC">
        <w:trPr>
          <w:trHeight w:val="279"/>
          <w:jc w:val="center"/>
        </w:trPr>
        <w:tc>
          <w:tcPr>
            <w:tcW w:w="3544" w:type="dxa"/>
            <w:vAlign w:val="center"/>
          </w:tcPr>
          <w:p w14:paraId="091BC113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2">
                <v:shape id="_x0000_i1049" type="#_x0000_t75" style="width:152.45pt;height:159.15pt">
                  <v:imagedata r:id="rId29" o:title="frequency_vs_accuracy2back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14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3">
                <v:shape id="_x0000_i1050" type="#_x0000_t75" style="width:156.7pt;height:160.35pt">
                  <v:imagedata r:id="rId30" o:title="frequency_vs_AccuracyGo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15" w14:textId="77777777" w:rsidR="00EF3CF8" w:rsidRDefault="009A2EF4" w:rsidP="008C16B3">
            <w:pPr>
              <w:spacing w:after="0" w:line="240" w:lineRule="auto"/>
              <w:ind w:hanging="47"/>
              <w:jc w:val="center"/>
            </w:pPr>
            <w:r>
              <w:pict w14:anchorId="091BC264">
                <v:shape id="_x0000_i1051" type="#_x0000_t75" style="width:159.15pt;height:165.8pt">
                  <v:imagedata r:id="rId31" o:title="frequency_vs_happyAB_plot"/>
                </v:shape>
              </w:pict>
            </w:r>
          </w:p>
        </w:tc>
      </w:tr>
      <w:tr w:rsidR="008D26FC" w14:paraId="091BC11A" w14:textId="77777777" w:rsidTr="008D26FC">
        <w:trPr>
          <w:trHeight w:val="279"/>
          <w:jc w:val="center"/>
        </w:trPr>
        <w:tc>
          <w:tcPr>
            <w:tcW w:w="3544" w:type="dxa"/>
            <w:vAlign w:val="center"/>
          </w:tcPr>
          <w:p w14:paraId="091BC117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5">
                <v:shape id="_x0000_i1052" type="#_x0000_t75" style="width:163.95pt;height:168.2pt">
                  <v:imagedata r:id="rId32" o:title="frequency_vs_painAB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18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6">
                <v:shape id="_x0000_i1053" type="#_x0000_t75" style="width:159.75pt;height:168.2pt">
                  <v:imagedata r:id="rId33" o:title="frequency_vs_RTInhibition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19" w14:textId="77777777" w:rsidR="00EF3CF8" w:rsidRDefault="009A2EF4" w:rsidP="008C16B3">
            <w:pPr>
              <w:spacing w:after="0" w:line="240" w:lineRule="auto"/>
              <w:ind w:hanging="189"/>
              <w:jc w:val="center"/>
            </w:pPr>
            <w:r>
              <w:pict w14:anchorId="091BC267">
                <v:shape id="_x0000_i1054" type="#_x0000_t75" style="width:159.15pt;height:165.8pt">
                  <v:imagedata r:id="rId34" o:title="frequency_vs_RTMemory_plot"/>
                </v:shape>
              </w:pict>
            </w:r>
          </w:p>
        </w:tc>
      </w:tr>
      <w:tr w:rsidR="008D26FC" w14:paraId="091BC11E" w14:textId="77777777" w:rsidTr="008D26FC">
        <w:trPr>
          <w:trHeight w:val="279"/>
          <w:jc w:val="center"/>
        </w:trPr>
        <w:tc>
          <w:tcPr>
            <w:tcW w:w="3544" w:type="dxa"/>
            <w:vAlign w:val="center"/>
          </w:tcPr>
          <w:p w14:paraId="091BC11B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8">
                <v:shape id="_x0000_i1055" type="#_x0000_t75" style="width:165.8pt;height:168.8pt">
                  <v:imagedata r:id="rId35" o:title="intensity_vs_accuracy2back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1C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9">
                <v:shape id="_x0000_i1056" type="#_x0000_t75" style="width:162.15pt;height:168.2pt">
                  <v:imagedata r:id="rId36" o:title="intensity_vs_accuracygo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1D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A">
                <v:shape id="_x0000_i1057" type="#_x0000_t75" style="width:168.8pt;height:170pt">
                  <v:imagedata r:id="rId37" o:title="intensity_vs_happyAB_plot"/>
                </v:shape>
              </w:pict>
            </w:r>
          </w:p>
        </w:tc>
      </w:tr>
      <w:tr w:rsidR="008D26FC" w14:paraId="091BC122" w14:textId="77777777" w:rsidTr="008D26FC">
        <w:trPr>
          <w:trHeight w:val="267"/>
          <w:jc w:val="center"/>
        </w:trPr>
        <w:tc>
          <w:tcPr>
            <w:tcW w:w="3544" w:type="dxa"/>
            <w:vAlign w:val="center"/>
          </w:tcPr>
          <w:p w14:paraId="091BC11F" w14:textId="77777777" w:rsidR="00EF3CF8" w:rsidRDefault="009A2EF4" w:rsidP="00EF3CF8">
            <w:pPr>
              <w:spacing w:after="0" w:line="240" w:lineRule="auto"/>
              <w:jc w:val="center"/>
            </w:pPr>
            <w:r>
              <w:lastRenderedPageBreak/>
              <w:pict w14:anchorId="091BC26B">
                <v:shape id="_x0000_i1058" type="#_x0000_t75" style="width:166.4pt;height:165.8pt">
                  <v:imagedata r:id="rId38" o:title="intensity_vs_painAB_plot"/>
                </v:shape>
              </w:pict>
            </w:r>
          </w:p>
        </w:tc>
        <w:tc>
          <w:tcPr>
            <w:tcW w:w="3478" w:type="dxa"/>
            <w:vAlign w:val="center"/>
          </w:tcPr>
          <w:p w14:paraId="091BC120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C">
                <v:shape id="_x0000_i1059" type="#_x0000_t75" style="width:162.75pt;height:164.55pt">
                  <v:imagedata r:id="rId39" o:title="intensity_vs_RTInhibition_plot"/>
                </v:shape>
              </w:pict>
            </w:r>
          </w:p>
        </w:tc>
        <w:tc>
          <w:tcPr>
            <w:tcW w:w="3605" w:type="dxa"/>
            <w:vAlign w:val="center"/>
          </w:tcPr>
          <w:p w14:paraId="091BC121" w14:textId="77777777" w:rsidR="00EF3CF8" w:rsidRDefault="009A2EF4" w:rsidP="00EF3CF8">
            <w:pPr>
              <w:spacing w:after="0" w:line="240" w:lineRule="auto"/>
              <w:jc w:val="center"/>
            </w:pPr>
            <w:r>
              <w:pict w14:anchorId="091BC26D">
                <v:shape id="_x0000_i1060" type="#_x0000_t75" style="width:168.8pt;height:175.45pt">
                  <v:imagedata r:id="rId40" o:title="intensity_vs_rtmemory_plot"/>
                </v:shape>
              </w:pict>
            </w:r>
          </w:p>
        </w:tc>
      </w:tr>
    </w:tbl>
    <w:p w14:paraId="091BC124" w14:textId="27E7EC46" w:rsidR="00C449A1" w:rsidRPr="001E0580" w:rsidRDefault="00C449A1" w:rsidP="001E0580">
      <w:pPr>
        <w:spacing w:before="120" w:after="120" w:line="240" w:lineRule="auto"/>
        <w:jc w:val="both"/>
        <w:rPr>
          <w:rtl/>
        </w:rPr>
      </w:pPr>
      <w:r w:rsidRPr="00E251A3">
        <w:rPr>
          <w:b/>
          <w:iCs/>
          <w:sz w:val="20"/>
          <w:szCs w:val="20"/>
        </w:rPr>
        <w:t>Fig</w:t>
      </w:r>
      <w:r w:rsidR="00AA3C3D">
        <w:rPr>
          <w:b/>
          <w:iCs/>
          <w:sz w:val="20"/>
          <w:szCs w:val="20"/>
        </w:rPr>
        <w:t xml:space="preserve">ure </w:t>
      </w:r>
      <w:r w:rsidR="0030253F">
        <w:rPr>
          <w:b/>
          <w:iCs/>
          <w:sz w:val="20"/>
          <w:szCs w:val="20"/>
        </w:rPr>
        <w:t>S</w:t>
      </w:r>
      <w:r w:rsidRPr="00E251A3">
        <w:rPr>
          <w:b/>
          <w:iCs/>
          <w:sz w:val="20"/>
          <w:szCs w:val="20"/>
        </w:rPr>
        <w:fldChar w:fldCharType="begin"/>
      </w:r>
      <w:r w:rsidRPr="00E251A3">
        <w:rPr>
          <w:b/>
          <w:iCs/>
          <w:sz w:val="20"/>
          <w:szCs w:val="20"/>
        </w:rPr>
        <w:instrText xml:space="preserve"> SEQ Fig. \* ARABIC </w:instrText>
      </w:r>
      <w:r w:rsidRPr="00E251A3">
        <w:rPr>
          <w:b/>
          <w:iCs/>
          <w:sz w:val="20"/>
          <w:szCs w:val="20"/>
        </w:rPr>
        <w:fldChar w:fldCharType="separate"/>
      </w:r>
      <w:r w:rsidR="00640C92">
        <w:rPr>
          <w:b/>
          <w:iCs/>
          <w:noProof/>
          <w:sz w:val="20"/>
          <w:szCs w:val="20"/>
        </w:rPr>
        <w:t>2</w:t>
      </w:r>
      <w:r w:rsidRPr="00E251A3">
        <w:rPr>
          <w:b/>
          <w:iCs/>
          <w:noProof/>
          <w:sz w:val="20"/>
          <w:szCs w:val="20"/>
        </w:rPr>
        <w:fldChar w:fldCharType="end"/>
      </w:r>
      <w:r w:rsidRPr="00E251A3">
        <w:rPr>
          <w:b/>
          <w:iCs/>
          <w:sz w:val="20"/>
          <w:szCs w:val="20"/>
        </w:rPr>
        <w:t xml:space="preserve">. </w:t>
      </w:r>
      <w:r w:rsidR="00AA3C3D" w:rsidRPr="00AA3C3D">
        <w:rPr>
          <w:bCs/>
          <w:iCs/>
          <w:sz w:val="20"/>
          <w:szCs w:val="20"/>
        </w:rPr>
        <w:t>Comparative analysis of two headache types: The relationship between pain perception and cognitive functions.</w:t>
      </w:r>
      <w:r w:rsidR="0008182B" w:rsidRPr="0008182B">
        <w:t xml:space="preserve"> </w:t>
      </w:r>
      <w:r w:rsidR="0008182B" w:rsidRPr="0008182B">
        <w:rPr>
          <w:bCs/>
          <w:iCs/>
          <w:sz w:val="20"/>
          <w:szCs w:val="20"/>
        </w:rPr>
        <w:t>The analysis emphasizes how each headache type is associated with distinct patterns of cognitive function and pain perception</w:t>
      </w:r>
      <w:r w:rsidR="0008182B">
        <w:rPr>
          <w:bCs/>
          <w:iCs/>
          <w:sz w:val="20"/>
          <w:szCs w:val="20"/>
        </w:rPr>
        <w:t>.</w:t>
      </w: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3478"/>
        <w:gridCol w:w="3605"/>
      </w:tblGrid>
      <w:tr w:rsidR="00C449A1" w14:paraId="091BC128" w14:textId="77777777" w:rsidTr="007B6F9D">
        <w:trPr>
          <w:trHeight w:val="279"/>
          <w:jc w:val="center"/>
        </w:trPr>
        <w:tc>
          <w:tcPr>
            <w:tcW w:w="3544" w:type="dxa"/>
            <w:vAlign w:val="center"/>
          </w:tcPr>
          <w:p w14:paraId="091BC125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6E">
                <v:shape id="_x0000_i1061" type="#_x0000_t75" style="width:165.8pt;height:171.85pt">
                  <v:imagedata r:id="rId41" o:title="Duration_vs_anxiety"/>
                </v:shape>
              </w:pict>
            </w:r>
          </w:p>
        </w:tc>
        <w:tc>
          <w:tcPr>
            <w:tcW w:w="3478" w:type="dxa"/>
            <w:vAlign w:val="center"/>
          </w:tcPr>
          <w:p w14:paraId="091BC126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6F">
                <v:shape id="_x0000_i1062" type="#_x0000_t75" style="width:162.75pt;height:168.8pt">
                  <v:imagedata r:id="rId42" o:title="Duration_vs_depression"/>
                </v:shape>
              </w:pict>
            </w:r>
          </w:p>
        </w:tc>
        <w:tc>
          <w:tcPr>
            <w:tcW w:w="3605" w:type="dxa"/>
            <w:vAlign w:val="center"/>
          </w:tcPr>
          <w:p w14:paraId="091BC127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0">
                <v:shape id="_x0000_i1063" type="#_x0000_t75" style="width:168.8pt;height:171.25pt">
                  <v:imagedata r:id="rId43" o:title="Duration_vs_stress"/>
                </v:shape>
              </w:pict>
            </w:r>
          </w:p>
        </w:tc>
      </w:tr>
      <w:tr w:rsidR="00C449A1" w14:paraId="091BC12C" w14:textId="77777777" w:rsidTr="007B6F9D">
        <w:trPr>
          <w:trHeight w:val="267"/>
          <w:jc w:val="center"/>
        </w:trPr>
        <w:tc>
          <w:tcPr>
            <w:tcW w:w="3544" w:type="dxa"/>
            <w:vAlign w:val="center"/>
          </w:tcPr>
          <w:p w14:paraId="091BC129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1">
                <v:shape id="_x0000_i1064" type="#_x0000_t75" style="width:165.8pt;height:171.85pt">
                  <v:imagedata r:id="rId44" o:title="Frequency_vs_anxiety"/>
                </v:shape>
              </w:pict>
            </w:r>
          </w:p>
        </w:tc>
        <w:tc>
          <w:tcPr>
            <w:tcW w:w="3478" w:type="dxa"/>
            <w:vAlign w:val="center"/>
          </w:tcPr>
          <w:p w14:paraId="091BC12A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2">
                <v:shape id="_x0000_i1065" type="#_x0000_t75" style="width:162.75pt;height:165.8pt">
                  <v:imagedata r:id="rId45" o:title="Frequency_vs_depression"/>
                </v:shape>
              </w:pict>
            </w:r>
          </w:p>
        </w:tc>
        <w:tc>
          <w:tcPr>
            <w:tcW w:w="3605" w:type="dxa"/>
            <w:vAlign w:val="center"/>
          </w:tcPr>
          <w:p w14:paraId="091BC12B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3">
                <v:shape id="_x0000_i1066" type="#_x0000_t75" style="width:168.2pt;height:173.05pt">
                  <v:imagedata r:id="rId46" o:title="Frequency_vs_stress"/>
                </v:shape>
              </w:pict>
            </w:r>
          </w:p>
        </w:tc>
      </w:tr>
      <w:tr w:rsidR="00C449A1" w14:paraId="091BC130" w14:textId="77777777" w:rsidTr="007B6F9D">
        <w:trPr>
          <w:trHeight w:val="267"/>
          <w:jc w:val="center"/>
        </w:trPr>
        <w:tc>
          <w:tcPr>
            <w:tcW w:w="3544" w:type="dxa"/>
            <w:vAlign w:val="center"/>
          </w:tcPr>
          <w:p w14:paraId="091BC12D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4">
                <v:shape id="_x0000_i1067" type="#_x0000_t75" style="width:166.4pt;height:169.4pt">
                  <v:imagedata r:id="rId47" o:title="Intensity_vs_anxiety"/>
                </v:shape>
              </w:pict>
            </w:r>
          </w:p>
        </w:tc>
        <w:tc>
          <w:tcPr>
            <w:tcW w:w="3478" w:type="dxa"/>
            <w:vAlign w:val="center"/>
          </w:tcPr>
          <w:p w14:paraId="091BC12E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5">
                <v:shape id="_x0000_i1068" type="#_x0000_t75" style="width:162.75pt;height:163.95pt">
                  <v:imagedata r:id="rId48" o:title="Intensity_vs_depression"/>
                </v:shape>
              </w:pict>
            </w:r>
          </w:p>
        </w:tc>
        <w:tc>
          <w:tcPr>
            <w:tcW w:w="3605" w:type="dxa"/>
            <w:vAlign w:val="center"/>
          </w:tcPr>
          <w:p w14:paraId="091BC12F" w14:textId="77777777" w:rsidR="00C449A1" w:rsidRDefault="009A2EF4" w:rsidP="007B6F9D">
            <w:pPr>
              <w:spacing w:after="0" w:line="240" w:lineRule="auto"/>
              <w:jc w:val="center"/>
            </w:pPr>
            <w:r>
              <w:pict w14:anchorId="091BC276">
                <v:shape id="_x0000_i1069" type="#_x0000_t75" style="width:169.4pt;height:174.25pt">
                  <v:imagedata r:id="rId49" o:title="Intensity_vs_stress"/>
                </v:shape>
              </w:pict>
            </w:r>
          </w:p>
        </w:tc>
      </w:tr>
    </w:tbl>
    <w:p w14:paraId="770A94C4" w14:textId="07804167" w:rsidR="00D9012B" w:rsidRPr="0008182B" w:rsidRDefault="00C449A1" w:rsidP="00D9012B">
      <w:pPr>
        <w:spacing w:before="120" w:after="200" w:line="240" w:lineRule="auto"/>
        <w:jc w:val="both"/>
        <w:rPr>
          <w:rtl/>
        </w:rPr>
      </w:pPr>
      <w:r w:rsidRPr="00E251A3">
        <w:rPr>
          <w:b/>
          <w:iCs/>
          <w:sz w:val="20"/>
          <w:szCs w:val="20"/>
        </w:rPr>
        <w:t>Fig</w:t>
      </w:r>
      <w:r w:rsidR="00230453">
        <w:rPr>
          <w:b/>
          <w:iCs/>
          <w:sz w:val="20"/>
          <w:szCs w:val="20"/>
        </w:rPr>
        <w:t>ure</w:t>
      </w:r>
      <w:r w:rsidRPr="00E251A3">
        <w:rPr>
          <w:b/>
          <w:iCs/>
          <w:sz w:val="20"/>
          <w:szCs w:val="20"/>
        </w:rPr>
        <w:t xml:space="preserve"> </w:t>
      </w:r>
      <w:r w:rsidR="0030253F">
        <w:rPr>
          <w:b/>
          <w:iCs/>
          <w:sz w:val="20"/>
          <w:szCs w:val="20"/>
        </w:rPr>
        <w:t>S</w:t>
      </w:r>
      <w:r w:rsidRPr="00E251A3">
        <w:rPr>
          <w:b/>
          <w:iCs/>
          <w:sz w:val="20"/>
          <w:szCs w:val="20"/>
        </w:rPr>
        <w:fldChar w:fldCharType="begin"/>
      </w:r>
      <w:r w:rsidRPr="00E251A3">
        <w:rPr>
          <w:b/>
          <w:iCs/>
          <w:sz w:val="20"/>
          <w:szCs w:val="20"/>
        </w:rPr>
        <w:instrText xml:space="preserve"> SEQ Fig. \* ARABIC </w:instrText>
      </w:r>
      <w:r w:rsidRPr="00E251A3">
        <w:rPr>
          <w:b/>
          <w:iCs/>
          <w:sz w:val="20"/>
          <w:szCs w:val="20"/>
        </w:rPr>
        <w:fldChar w:fldCharType="separate"/>
      </w:r>
      <w:r w:rsidR="00640C92">
        <w:rPr>
          <w:b/>
          <w:iCs/>
          <w:noProof/>
          <w:sz w:val="20"/>
          <w:szCs w:val="20"/>
        </w:rPr>
        <w:t>3</w:t>
      </w:r>
      <w:r w:rsidRPr="00E251A3">
        <w:rPr>
          <w:b/>
          <w:iCs/>
          <w:noProof/>
          <w:sz w:val="20"/>
          <w:szCs w:val="20"/>
        </w:rPr>
        <w:fldChar w:fldCharType="end"/>
      </w:r>
      <w:r w:rsidRPr="00E251A3">
        <w:rPr>
          <w:b/>
          <w:iCs/>
          <w:sz w:val="20"/>
          <w:szCs w:val="20"/>
        </w:rPr>
        <w:t xml:space="preserve">. </w:t>
      </w:r>
      <w:r w:rsidR="00230453" w:rsidRPr="00230453">
        <w:rPr>
          <w:bCs/>
          <w:iCs/>
          <w:sz w:val="20"/>
          <w:szCs w:val="20"/>
        </w:rPr>
        <w:t>Comparative analysis of two headache types: The relationship between pain perception and mental distress.</w:t>
      </w:r>
      <w:r w:rsidR="0008182B" w:rsidRPr="0008182B">
        <w:t xml:space="preserve"> </w:t>
      </w:r>
      <w:r w:rsidR="0008182B" w:rsidRPr="0008182B">
        <w:rPr>
          <w:bCs/>
          <w:iCs/>
          <w:sz w:val="20"/>
          <w:szCs w:val="20"/>
        </w:rPr>
        <w:t xml:space="preserve">The comparison highlights how each type of headache is associated with varying levels of pain perception and </w:t>
      </w:r>
      <w:r w:rsidR="0008182B">
        <w:rPr>
          <w:bCs/>
          <w:iCs/>
          <w:sz w:val="20"/>
          <w:szCs w:val="20"/>
        </w:rPr>
        <w:t>mental</w:t>
      </w:r>
      <w:r w:rsidR="0008182B" w:rsidRPr="0008182B">
        <w:rPr>
          <w:bCs/>
          <w:iCs/>
          <w:sz w:val="20"/>
          <w:szCs w:val="20"/>
        </w:rPr>
        <w:t xml:space="preserve"> distress</w:t>
      </w:r>
      <w:r w:rsidR="0008182B">
        <w:rPr>
          <w:bCs/>
          <w:iCs/>
          <w:sz w:val="20"/>
          <w:szCs w:val="20"/>
        </w:rPr>
        <w:t>.</w:t>
      </w: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3478"/>
        <w:gridCol w:w="3605"/>
      </w:tblGrid>
      <w:tr w:rsidR="00DB42CB" w14:paraId="091BC137" w14:textId="77777777" w:rsidTr="007B6F9D">
        <w:trPr>
          <w:trHeight w:val="279"/>
          <w:jc w:val="center"/>
        </w:trPr>
        <w:tc>
          <w:tcPr>
            <w:tcW w:w="3544" w:type="dxa"/>
            <w:vAlign w:val="center"/>
          </w:tcPr>
          <w:p w14:paraId="091BC134" w14:textId="77777777" w:rsidR="00DB42CB" w:rsidRDefault="009A2EF4" w:rsidP="007B6F9D">
            <w:pPr>
              <w:spacing w:after="0" w:line="240" w:lineRule="auto"/>
              <w:jc w:val="center"/>
            </w:pPr>
            <w:r>
              <w:lastRenderedPageBreak/>
              <w:pict w14:anchorId="091BC277">
                <v:shape id="_x0000_i1070" type="#_x0000_t75" style="width:166.4pt;height:145.8pt">
                  <v:imagedata r:id="rId50" o:title="Cognitive_all_participants"/>
                </v:shape>
              </w:pict>
            </w:r>
          </w:p>
        </w:tc>
        <w:tc>
          <w:tcPr>
            <w:tcW w:w="3478" w:type="dxa"/>
            <w:vAlign w:val="center"/>
          </w:tcPr>
          <w:p w14:paraId="091BC135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8">
                <v:shape id="_x0000_i1071" type="#_x0000_t75" style="width:162.15pt;height:142.2pt">
                  <v:imagedata r:id="rId51" o:title="Cognitive_migraine"/>
                </v:shape>
              </w:pict>
            </w:r>
          </w:p>
        </w:tc>
        <w:tc>
          <w:tcPr>
            <w:tcW w:w="3605" w:type="dxa"/>
            <w:vAlign w:val="center"/>
          </w:tcPr>
          <w:p w14:paraId="091BC136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9">
                <v:shape id="_x0000_i1072" type="#_x0000_t75" style="width:168.8pt;height:148.25pt">
                  <v:imagedata r:id="rId52" o:title="Cognitive_tension_type"/>
                </v:shape>
              </w:pict>
            </w:r>
          </w:p>
        </w:tc>
      </w:tr>
      <w:tr w:rsidR="00DB42CB" w14:paraId="091BC13B" w14:textId="77777777" w:rsidTr="007B6F9D">
        <w:trPr>
          <w:trHeight w:val="267"/>
          <w:jc w:val="center"/>
        </w:trPr>
        <w:tc>
          <w:tcPr>
            <w:tcW w:w="3544" w:type="dxa"/>
            <w:vAlign w:val="center"/>
          </w:tcPr>
          <w:p w14:paraId="091BC138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A">
                <v:shape id="_x0000_i1073" type="#_x0000_t75" style="width:165.2pt;height:147.05pt">
                  <v:imagedata r:id="rId53" o:title="Perception_Dass_all_participants"/>
                </v:shape>
              </w:pict>
            </w:r>
          </w:p>
        </w:tc>
        <w:tc>
          <w:tcPr>
            <w:tcW w:w="3478" w:type="dxa"/>
            <w:vAlign w:val="center"/>
          </w:tcPr>
          <w:p w14:paraId="091BC139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B">
                <v:shape id="_x0000_i1074" type="#_x0000_t75" style="width:162.15pt;height:144.6pt">
                  <v:imagedata r:id="rId54" o:title="Perception_Dass-migraine"/>
                </v:shape>
              </w:pict>
            </w:r>
          </w:p>
        </w:tc>
        <w:tc>
          <w:tcPr>
            <w:tcW w:w="3605" w:type="dxa"/>
            <w:vAlign w:val="center"/>
          </w:tcPr>
          <w:p w14:paraId="091BC13A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C">
                <v:shape id="_x0000_i1075" type="#_x0000_t75" style="width:169.4pt;height:150.65pt">
                  <v:imagedata r:id="rId55" o:title="Perception_Dass-tension_type"/>
                </v:shape>
              </w:pict>
            </w:r>
          </w:p>
        </w:tc>
      </w:tr>
      <w:tr w:rsidR="00DB42CB" w14:paraId="091BC13F" w14:textId="77777777" w:rsidTr="007B6F9D">
        <w:trPr>
          <w:trHeight w:val="267"/>
          <w:jc w:val="center"/>
        </w:trPr>
        <w:tc>
          <w:tcPr>
            <w:tcW w:w="3544" w:type="dxa"/>
            <w:vAlign w:val="center"/>
          </w:tcPr>
          <w:p w14:paraId="091BC13C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D">
                <v:shape id="_x0000_i1076" type="#_x0000_t75" style="width:166.4pt;height:147.65pt">
                  <v:imagedata r:id="rId56" o:title="Dass_all_participants"/>
                </v:shape>
              </w:pict>
            </w:r>
          </w:p>
        </w:tc>
        <w:tc>
          <w:tcPr>
            <w:tcW w:w="3478" w:type="dxa"/>
            <w:vAlign w:val="center"/>
          </w:tcPr>
          <w:p w14:paraId="091BC13D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E">
                <v:shape id="_x0000_i1077" type="#_x0000_t75" style="width:161.55pt;height:143.4pt">
                  <v:imagedata r:id="rId57" o:title="Dass_migraine"/>
                </v:shape>
              </w:pict>
            </w:r>
          </w:p>
        </w:tc>
        <w:tc>
          <w:tcPr>
            <w:tcW w:w="3605" w:type="dxa"/>
            <w:vAlign w:val="center"/>
          </w:tcPr>
          <w:p w14:paraId="091BC13E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7F">
                <v:shape id="_x0000_i1078" type="#_x0000_t75" style="width:168.2pt;height:145.8pt">
                  <v:imagedata r:id="rId58" o:title="Dass_tension_type"/>
                </v:shape>
              </w:pict>
            </w:r>
          </w:p>
        </w:tc>
      </w:tr>
      <w:tr w:rsidR="00DB42CB" w14:paraId="091BC143" w14:textId="77777777" w:rsidTr="007B6F9D">
        <w:trPr>
          <w:trHeight w:val="267"/>
          <w:jc w:val="center"/>
        </w:trPr>
        <w:tc>
          <w:tcPr>
            <w:tcW w:w="3544" w:type="dxa"/>
            <w:vAlign w:val="center"/>
          </w:tcPr>
          <w:p w14:paraId="091BC140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80">
                <v:shape id="_x0000_i1079" type="#_x0000_t75" style="width:166.4pt;height:147.65pt">
                  <v:imagedata r:id="rId59" o:title="Perception-all_participants"/>
                </v:shape>
              </w:pict>
            </w:r>
          </w:p>
        </w:tc>
        <w:tc>
          <w:tcPr>
            <w:tcW w:w="3478" w:type="dxa"/>
            <w:vAlign w:val="center"/>
          </w:tcPr>
          <w:p w14:paraId="091BC141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81">
                <v:shape id="_x0000_i1080" type="#_x0000_t75" style="width:161.55pt;height:143.4pt">
                  <v:imagedata r:id="rId60" o:title="Perception-migraine"/>
                </v:shape>
              </w:pict>
            </w:r>
          </w:p>
        </w:tc>
        <w:tc>
          <w:tcPr>
            <w:tcW w:w="3605" w:type="dxa"/>
            <w:vAlign w:val="center"/>
          </w:tcPr>
          <w:p w14:paraId="091BC142" w14:textId="77777777" w:rsidR="00DB42CB" w:rsidRDefault="009A2EF4" w:rsidP="007B6F9D">
            <w:pPr>
              <w:spacing w:after="0" w:line="240" w:lineRule="auto"/>
              <w:jc w:val="center"/>
            </w:pPr>
            <w:r>
              <w:pict w14:anchorId="091BC282">
                <v:shape id="_x0000_i1081" type="#_x0000_t75" style="width:169.4pt;height:150.05pt">
                  <v:imagedata r:id="rId61" o:title="Perception-tension_type"/>
                </v:shape>
              </w:pict>
            </w:r>
          </w:p>
        </w:tc>
      </w:tr>
    </w:tbl>
    <w:p w14:paraId="091BC144" w14:textId="77777777" w:rsidR="00DB42CB" w:rsidRDefault="00DB42CB" w:rsidP="00DB42CB">
      <w:pPr>
        <w:spacing w:after="200" w:line="240" w:lineRule="auto"/>
        <w:jc w:val="center"/>
        <w:rPr>
          <w:b/>
          <w:iCs/>
          <w:sz w:val="20"/>
          <w:szCs w:val="20"/>
        </w:rPr>
      </w:pPr>
    </w:p>
    <w:p w14:paraId="091BC145" w14:textId="5E59C909" w:rsidR="00DB42CB" w:rsidRPr="00EF3CF8" w:rsidRDefault="00DB42CB" w:rsidP="0008182B">
      <w:pPr>
        <w:spacing w:after="200" w:line="240" w:lineRule="auto"/>
        <w:jc w:val="both"/>
        <w:rPr>
          <w:bCs/>
          <w:iCs/>
          <w:sz w:val="20"/>
          <w:szCs w:val="20"/>
          <w:lang w:bidi="fa-IR"/>
        </w:rPr>
      </w:pPr>
      <w:r w:rsidRPr="00E251A3">
        <w:rPr>
          <w:b/>
          <w:iCs/>
          <w:sz w:val="20"/>
          <w:szCs w:val="20"/>
        </w:rPr>
        <w:t>Fig</w:t>
      </w:r>
      <w:r w:rsidR="0008182B">
        <w:rPr>
          <w:b/>
          <w:iCs/>
          <w:sz w:val="20"/>
          <w:szCs w:val="20"/>
        </w:rPr>
        <w:t>ure</w:t>
      </w:r>
      <w:r w:rsidRPr="00E251A3">
        <w:rPr>
          <w:b/>
          <w:iCs/>
          <w:sz w:val="20"/>
          <w:szCs w:val="20"/>
        </w:rPr>
        <w:t xml:space="preserve"> </w:t>
      </w:r>
      <w:r w:rsidR="0030253F">
        <w:rPr>
          <w:b/>
          <w:iCs/>
          <w:sz w:val="20"/>
          <w:szCs w:val="20"/>
        </w:rPr>
        <w:t>S</w:t>
      </w:r>
      <w:r w:rsidRPr="00E251A3">
        <w:rPr>
          <w:b/>
          <w:iCs/>
          <w:sz w:val="20"/>
          <w:szCs w:val="20"/>
        </w:rPr>
        <w:fldChar w:fldCharType="begin"/>
      </w:r>
      <w:r w:rsidRPr="00E251A3">
        <w:rPr>
          <w:b/>
          <w:iCs/>
          <w:sz w:val="20"/>
          <w:szCs w:val="20"/>
        </w:rPr>
        <w:instrText xml:space="preserve"> SEQ Fig. \* ARABIC </w:instrText>
      </w:r>
      <w:r w:rsidRPr="00E251A3">
        <w:rPr>
          <w:b/>
          <w:iCs/>
          <w:sz w:val="20"/>
          <w:szCs w:val="20"/>
        </w:rPr>
        <w:fldChar w:fldCharType="separate"/>
      </w:r>
      <w:r w:rsidR="00640C92">
        <w:rPr>
          <w:b/>
          <w:iCs/>
          <w:noProof/>
          <w:sz w:val="20"/>
          <w:szCs w:val="20"/>
        </w:rPr>
        <w:t>4</w:t>
      </w:r>
      <w:r w:rsidRPr="00E251A3">
        <w:rPr>
          <w:b/>
          <w:iCs/>
          <w:noProof/>
          <w:sz w:val="20"/>
          <w:szCs w:val="20"/>
        </w:rPr>
        <w:fldChar w:fldCharType="end"/>
      </w:r>
      <w:r w:rsidRPr="00E251A3">
        <w:rPr>
          <w:b/>
          <w:iCs/>
          <w:sz w:val="20"/>
          <w:szCs w:val="20"/>
        </w:rPr>
        <w:t xml:space="preserve">. </w:t>
      </w:r>
      <w:r w:rsidR="0008182B" w:rsidRPr="0008182B">
        <w:rPr>
          <w:bCs/>
          <w:iCs/>
          <w:sz w:val="20"/>
          <w:szCs w:val="20"/>
        </w:rPr>
        <w:t xml:space="preserve">The relationships between various psychological and cognitive variables, including pain perception, mental distress, anxiety, and working memory performance, across tension-type headaches and migraines are </w:t>
      </w:r>
      <w:r w:rsidR="0008182B">
        <w:rPr>
          <w:bCs/>
          <w:iCs/>
          <w:sz w:val="20"/>
          <w:szCs w:val="20"/>
        </w:rPr>
        <w:t>shown</w:t>
      </w:r>
      <w:r w:rsidR="0008182B" w:rsidRPr="0008182B">
        <w:rPr>
          <w:bCs/>
          <w:iCs/>
          <w:sz w:val="20"/>
          <w:szCs w:val="20"/>
        </w:rPr>
        <w:t>. The strength and direction of the correlations are visually represented, enabling a comparative analysis of how these variables interact within each headache type.</w:t>
      </w:r>
    </w:p>
    <w:p w14:paraId="091BC243" w14:textId="77777777" w:rsidR="0080378A" w:rsidRDefault="0080378A"/>
    <w:sectPr w:rsidR="0080378A" w:rsidSect="0080378A">
      <w:pgSz w:w="11906" w:h="16838" w:code="9"/>
      <w:pgMar w:top="426" w:right="851" w:bottom="851" w:left="85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15245"/>
    <w:multiLevelType w:val="multilevel"/>
    <w:tmpl w:val="265045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‌.%2‌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pStyle w:val="Heading3"/>
      <w:lvlText w:val="%1‌.%2‌.%3‌"/>
      <w:lvlJc w:val="left"/>
      <w:pPr>
        <w:tabs>
          <w:tab w:val="num" w:pos="720"/>
        </w:tabs>
        <w:ind w:left="720" w:hanging="720"/>
      </w:pPr>
      <w:rPr>
        <w:rFonts w:cs="B Nazanin" w:hint="default"/>
      </w:rPr>
    </w:lvl>
    <w:lvl w:ilvl="3">
      <w:start w:val="1"/>
      <w:numFmt w:val="decimal"/>
      <w:pStyle w:val="Heading4"/>
      <w:lvlText w:val="%1‌.%2‌.%3‌.%4‌"/>
      <w:lvlJc w:val="left"/>
      <w:pPr>
        <w:tabs>
          <w:tab w:val="num" w:pos="864"/>
        </w:tabs>
        <w:ind w:left="864" w:hanging="864"/>
      </w:pPr>
      <w:rPr>
        <w:rFonts w:hint="default"/>
        <w:sz w:val="28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39631342">
    <w:abstractNumId w:val="0"/>
  </w:num>
  <w:num w:numId="2" w16cid:durableId="301157821">
    <w:abstractNumId w:val="0"/>
  </w:num>
  <w:num w:numId="3" w16cid:durableId="124113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78A"/>
    <w:rsid w:val="00036F7C"/>
    <w:rsid w:val="000518A4"/>
    <w:rsid w:val="000557BD"/>
    <w:rsid w:val="00063DD7"/>
    <w:rsid w:val="000656D5"/>
    <w:rsid w:val="0008182B"/>
    <w:rsid w:val="000B2E8E"/>
    <w:rsid w:val="000C0457"/>
    <w:rsid w:val="000F1B32"/>
    <w:rsid w:val="001024AB"/>
    <w:rsid w:val="0012258D"/>
    <w:rsid w:val="0013616A"/>
    <w:rsid w:val="0014485F"/>
    <w:rsid w:val="00152EF5"/>
    <w:rsid w:val="00172FF0"/>
    <w:rsid w:val="001E0580"/>
    <w:rsid w:val="00230453"/>
    <w:rsid w:val="00255DFC"/>
    <w:rsid w:val="002A2327"/>
    <w:rsid w:val="002C23D8"/>
    <w:rsid w:val="002C5D69"/>
    <w:rsid w:val="002E7C45"/>
    <w:rsid w:val="0030253F"/>
    <w:rsid w:val="00344647"/>
    <w:rsid w:val="00380A50"/>
    <w:rsid w:val="00382707"/>
    <w:rsid w:val="00403404"/>
    <w:rsid w:val="0040365F"/>
    <w:rsid w:val="0043366C"/>
    <w:rsid w:val="00480D64"/>
    <w:rsid w:val="004D24D7"/>
    <w:rsid w:val="005003BF"/>
    <w:rsid w:val="0052736B"/>
    <w:rsid w:val="005A0BC4"/>
    <w:rsid w:val="005A6638"/>
    <w:rsid w:val="005C7782"/>
    <w:rsid w:val="005F1FC9"/>
    <w:rsid w:val="00640C92"/>
    <w:rsid w:val="006426C2"/>
    <w:rsid w:val="006829CD"/>
    <w:rsid w:val="006B61DD"/>
    <w:rsid w:val="00705D76"/>
    <w:rsid w:val="0073007D"/>
    <w:rsid w:val="00756231"/>
    <w:rsid w:val="007705B7"/>
    <w:rsid w:val="0077122D"/>
    <w:rsid w:val="007B6F9D"/>
    <w:rsid w:val="007C78D6"/>
    <w:rsid w:val="0080378A"/>
    <w:rsid w:val="008C16B3"/>
    <w:rsid w:val="008D26FC"/>
    <w:rsid w:val="00922A66"/>
    <w:rsid w:val="00966AFF"/>
    <w:rsid w:val="00967E2A"/>
    <w:rsid w:val="009970F2"/>
    <w:rsid w:val="009A1874"/>
    <w:rsid w:val="00A36C45"/>
    <w:rsid w:val="00A462DE"/>
    <w:rsid w:val="00A72F59"/>
    <w:rsid w:val="00A743D0"/>
    <w:rsid w:val="00AA07B4"/>
    <w:rsid w:val="00AA3C3D"/>
    <w:rsid w:val="00AD1B3C"/>
    <w:rsid w:val="00B0698B"/>
    <w:rsid w:val="00B46262"/>
    <w:rsid w:val="00BC7ADC"/>
    <w:rsid w:val="00BC7CF9"/>
    <w:rsid w:val="00BE6FB3"/>
    <w:rsid w:val="00C256C8"/>
    <w:rsid w:val="00C449A1"/>
    <w:rsid w:val="00C635D8"/>
    <w:rsid w:val="00C65F81"/>
    <w:rsid w:val="00C906B9"/>
    <w:rsid w:val="00CA5BA2"/>
    <w:rsid w:val="00CD17F0"/>
    <w:rsid w:val="00D73806"/>
    <w:rsid w:val="00D9012B"/>
    <w:rsid w:val="00DB42CB"/>
    <w:rsid w:val="00DC20C1"/>
    <w:rsid w:val="00DC73CE"/>
    <w:rsid w:val="00DE17CC"/>
    <w:rsid w:val="00E03FAC"/>
    <w:rsid w:val="00E1050E"/>
    <w:rsid w:val="00E126F4"/>
    <w:rsid w:val="00E700B8"/>
    <w:rsid w:val="00EC13F8"/>
    <w:rsid w:val="00ED7D9A"/>
    <w:rsid w:val="00EF3CF8"/>
    <w:rsid w:val="00F72EB3"/>
    <w:rsid w:val="00F9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1BC0E0"/>
  <w14:discardImageEditingData/>
  <w14:defaultImageDpi w14:val="96"/>
  <w15:chartTrackingRefBased/>
  <w15:docId w15:val="{7FBB915F-8CCA-4FC5-937F-7F5113AD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CB"/>
    <w:pPr>
      <w:spacing w:after="160" w:line="480" w:lineRule="auto"/>
    </w:pPr>
    <w:rPr>
      <w:rFonts w:asciiTheme="majorBidi" w:hAnsiTheme="majorBidi" w:cstheme="minorBidi"/>
      <w:sz w:val="24"/>
      <w:szCs w:val="22"/>
    </w:rPr>
  </w:style>
  <w:style w:type="paragraph" w:styleId="Heading2">
    <w:name w:val="heading 2"/>
    <w:basedOn w:val="Normal"/>
    <w:next w:val="Normal"/>
    <w:link w:val="Heading2Char"/>
    <w:qFormat/>
    <w:rsid w:val="0013616A"/>
    <w:pPr>
      <w:keepNext/>
      <w:numPr>
        <w:ilvl w:val="1"/>
        <w:numId w:val="3"/>
      </w:numPr>
      <w:bidi/>
      <w:spacing w:before="540" w:line="288" w:lineRule="auto"/>
      <w:jc w:val="lowKashida"/>
      <w:outlineLvl w:val="1"/>
    </w:pPr>
    <w:rPr>
      <w:rFonts w:eastAsia="Times New Roman" w:cs="B Nazanin"/>
      <w:b/>
      <w:bCs/>
      <w:sz w:val="26"/>
      <w:szCs w:val="36"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qFormat/>
    <w:rsid w:val="0013616A"/>
    <w:pPr>
      <w:keepNext/>
      <w:numPr>
        <w:ilvl w:val="2"/>
        <w:numId w:val="3"/>
      </w:numPr>
      <w:bidi/>
      <w:spacing w:before="400" w:line="288" w:lineRule="auto"/>
      <w:jc w:val="lowKashida"/>
      <w:outlineLvl w:val="2"/>
    </w:pPr>
    <w:rPr>
      <w:rFonts w:eastAsia="Times New Roman" w:cs="B Nazanin"/>
      <w:b/>
      <w:bCs/>
      <w:szCs w:val="32"/>
      <w:lang w:val="x-none" w:eastAsia="x-none" w:bidi="fa-IR"/>
    </w:rPr>
  </w:style>
  <w:style w:type="paragraph" w:styleId="Heading4">
    <w:name w:val="heading 4"/>
    <w:basedOn w:val="Normal"/>
    <w:next w:val="Normal"/>
    <w:link w:val="Heading4Char"/>
    <w:qFormat/>
    <w:rsid w:val="0013616A"/>
    <w:pPr>
      <w:keepNext/>
      <w:numPr>
        <w:ilvl w:val="3"/>
        <w:numId w:val="3"/>
      </w:numPr>
      <w:bidi/>
      <w:spacing w:before="300" w:line="288" w:lineRule="auto"/>
      <w:jc w:val="lowKashida"/>
      <w:outlineLvl w:val="3"/>
    </w:pPr>
    <w:rPr>
      <w:rFonts w:eastAsia="Times New Roman" w:cs="B Nazanin"/>
      <w:b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3616A"/>
    <w:rPr>
      <w:rFonts w:eastAsia="Times New Roman" w:cs="B Nazanin"/>
      <w:b/>
      <w:bCs/>
      <w:sz w:val="26"/>
      <w:szCs w:val="36"/>
      <w:lang w:val="x-none" w:eastAsia="x-none" w:bidi="fa-IR"/>
    </w:rPr>
  </w:style>
  <w:style w:type="character" w:customStyle="1" w:styleId="Heading3Char">
    <w:name w:val="Heading 3 Char"/>
    <w:link w:val="Heading3"/>
    <w:rsid w:val="0013616A"/>
    <w:rPr>
      <w:rFonts w:eastAsia="Times New Roman" w:cs="B Nazanin"/>
      <w:b/>
      <w:bCs/>
      <w:sz w:val="24"/>
      <w:szCs w:val="32"/>
      <w:lang w:val="x-none" w:eastAsia="x-none" w:bidi="fa-IR"/>
    </w:rPr>
  </w:style>
  <w:style w:type="character" w:customStyle="1" w:styleId="Heading4Char">
    <w:name w:val="Heading 4 Char"/>
    <w:basedOn w:val="DefaultParagraphFont"/>
    <w:link w:val="Heading4"/>
    <w:rsid w:val="0013616A"/>
    <w:rPr>
      <w:rFonts w:eastAsia="Times New Roman" w:cs="B Nazanin"/>
      <w:b/>
      <w:bCs/>
      <w:sz w:val="22"/>
      <w:szCs w:val="24"/>
    </w:rPr>
  </w:style>
  <w:style w:type="table" w:styleId="TableGrid">
    <w:name w:val="Table Grid"/>
    <w:basedOn w:val="TableNormal"/>
    <w:uiPriority w:val="39"/>
    <w:rsid w:val="0080378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F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05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Jalal Heidari</cp:lastModifiedBy>
  <cp:revision>9</cp:revision>
  <cp:lastPrinted>2024-10-05T07:48:00Z</cp:lastPrinted>
  <dcterms:created xsi:type="dcterms:W3CDTF">2025-10-14T19:35:00Z</dcterms:created>
  <dcterms:modified xsi:type="dcterms:W3CDTF">2026-08-04T12:43:00Z</dcterms:modified>
</cp:coreProperties>
</file>