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7A202" w14:textId="1ED24E37" w:rsidR="008B4885" w:rsidRPr="00E87F9F" w:rsidRDefault="00E87F9F" w:rsidP="00E87F9F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E87F9F">
        <w:rPr>
          <w:rFonts w:ascii="Times New Roman" w:hAnsi="Times New Roman" w:cs="Times New Roman"/>
          <w:b/>
          <w:bCs/>
          <w:sz w:val="22"/>
          <w:szCs w:val="22"/>
        </w:rPr>
        <w:t>eTable</w:t>
      </w:r>
      <w:proofErr w:type="spellEnd"/>
      <w:r w:rsidRPr="00E87F9F">
        <w:rPr>
          <w:rFonts w:ascii="Times New Roman" w:hAnsi="Times New Roman" w:cs="Times New Roman"/>
          <w:b/>
          <w:bCs/>
          <w:sz w:val="22"/>
          <w:szCs w:val="22"/>
        </w:rPr>
        <w:t> 6. Temporal robustness of the association between prob2 and 28</w:t>
      </w:r>
      <w:r w:rsidRPr="00E87F9F">
        <w:rPr>
          <w:rFonts w:ascii="Times New Roman" w:hAnsi="Times New Roman" w:cs="Times New Roman"/>
          <w:b/>
          <w:bCs/>
          <w:sz w:val="22"/>
          <w:szCs w:val="22"/>
        </w:rPr>
        <w:noBreakHyphen/>
        <w:t>day mortality using varying glucose monitoring windows.</w:t>
      </w:r>
    </w:p>
    <w:tbl>
      <w:tblPr>
        <w:tblW w:w="9943" w:type="dxa"/>
        <w:jc w:val="center"/>
        <w:tblLayout w:type="fixed"/>
        <w:tblLook w:val="0420" w:firstRow="1" w:lastRow="0" w:firstColumn="0" w:lastColumn="0" w:noHBand="0" w:noVBand="1"/>
      </w:tblPr>
      <w:tblGrid>
        <w:gridCol w:w="1276"/>
        <w:gridCol w:w="992"/>
        <w:gridCol w:w="1008"/>
        <w:gridCol w:w="1008"/>
        <w:gridCol w:w="1528"/>
        <w:gridCol w:w="2835"/>
        <w:gridCol w:w="1296"/>
      </w:tblGrid>
      <w:tr w:rsidR="008B4885" w14:paraId="40B40000" w14:textId="77777777" w:rsidTr="00E87F9F">
        <w:trPr>
          <w:tblHeader/>
          <w:jc w:val="center"/>
        </w:trPr>
        <w:tc>
          <w:tcPr>
            <w:tcW w:w="1276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F1C71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Cohort</w:t>
            </w:r>
          </w:p>
        </w:tc>
        <w:tc>
          <w:tcPr>
            <w:tcW w:w="992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2DC50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Window</w:t>
            </w:r>
          </w:p>
        </w:tc>
        <w:tc>
          <w:tcPr>
            <w:tcW w:w="1008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ACAEB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1008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77BC1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Events</w:t>
            </w:r>
          </w:p>
        </w:tc>
        <w:tc>
          <w:tcPr>
            <w:tcW w:w="1528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3618C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IQR of prob2</w:t>
            </w:r>
          </w:p>
        </w:tc>
        <w:tc>
          <w:tcPr>
            <w:tcW w:w="2835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207CE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OR (95% CI)</w:t>
            </w:r>
          </w:p>
        </w:tc>
        <w:tc>
          <w:tcPr>
            <w:tcW w:w="1296" w:type="dxa"/>
            <w:tcBorders>
              <w:top w:val="single" w:sz="16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262C6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P value</w:t>
            </w:r>
          </w:p>
        </w:tc>
      </w:tr>
      <w:tr w:rsidR="008B4885" w14:paraId="26C15D0B" w14:textId="77777777" w:rsidTr="00E87F9F">
        <w:trPr>
          <w:jc w:val="center"/>
        </w:trPr>
        <w:tc>
          <w:tcPr>
            <w:tcW w:w="1276" w:type="dxa"/>
            <w:vMerge w:val="restart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0D112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MIMIC-IV</w:t>
            </w:r>
          </w:p>
        </w:tc>
        <w:tc>
          <w:tcPr>
            <w:tcW w:w="992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18DEA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h</w:t>
            </w:r>
          </w:p>
        </w:tc>
        <w:tc>
          <w:tcPr>
            <w:tcW w:w="1008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DEC7A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663</w:t>
            </w:r>
          </w:p>
        </w:tc>
        <w:tc>
          <w:tcPr>
            <w:tcW w:w="1008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5CD13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528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93A0E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0.0179</w:t>
            </w:r>
          </w:p>
        </w:tc>
        <w:tc>
          <w:tcPr>
            <w:tcW w:w="2835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4F0FE" w14:textId="275303E4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 (0.92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2.06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6" w:type="dxa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2C2B" w14:textId="36C9008B" w:rsidR="008B4885" w:rsidRPr="00312A54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0.12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0</w:t>
            </w:r>
          </w:p>
        </w:tc>
      </w:tr>
      <w:tr w:rsidR="008B4885" w14:paraId="6C6CCB68" w14:textId="77777777" w:rsidTr="00E87F9F">
        <w:trPr>
          <w:jc w:val="center"/>
        </w:trPr>
        <w:tc>
          <w:tcPr>
            <w:tcW w:w="127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B264B" w14:textId="77777777" w:rsidR="008B4885" w:rsidRDefault="008B48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8E709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h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40B4D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1,397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26A4E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5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50A4E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0.0122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90F41" w14:textId="381526BA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1.24 (0.91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1.6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AFDF1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0.175</w:t>
            </w:r>
          </w:p>
        </w:tc>
      </w:tr>
      <w:tr w:rsidR="008B4885" w14:paraId="6B2D4C2D" w14:textId="77777777" w:rsidTr="00E87F9F">
        <w:trPr>
          <w:jc w:val="center"/>
        </w:trPr>
        <w:tc>
          <w:tcPr>
            <w:tcW w:w="127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45237" w14:textId="77777777" w:rsidR="008B4885" w:rsidRDefault="008B48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2BE28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h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5C486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2,046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100CD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5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8942F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0.0100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9B580" w14:textId="71F3802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 (1.0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69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1.86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4D508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0.017</w:t>
            </w:r>
          </w:p>
        </w:tc>
      </w:tr>
      <w:tr w:rsidR="008B4885" w14:paraId="46344C94" w14:textId="77777777" w:rsidTr="00E87F9F">
        <w:trPr>
          <w:jc w:val="center"/>
        </w:trPr>
        <w:tc>
          <w:tcPr>
            <w:tcW w:w="1276" w:type="dxa"/>
            <w:vMerge w:val="restart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043FF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eICU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-CRD</w:t>
            </w: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D6BF9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h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3FD3C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1,658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6AF1B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15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85D26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0.0181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5970" w14:textId="2DD6E38D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 (1.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196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1.77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60756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8B4885" w14:paraId="01D0AD81" w14:textId="77777777" w:rsidTr="00E87F9F">
        <w:trPr>
          <w:jc w:val="center"/>
        </w:trPr>
        <w:tc>
          <w:tcPr>
            <w:tcW w:w="1276" w:type="dxa"/>
            <w:vMerge/>
            <w:tcBorders>
              <w:top w:val="single" w:sz="1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A978A" w14:textId="77777777" w:rsidR="008B4885" w:rsidRDefault="008B48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477CE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h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4D82D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2,089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614FC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5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FCAD6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0.0106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52B91" w14:textId="7DEE0750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1.71 (1.4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– 2.0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51984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8B4885" w14:paraId="122FEC06" w14:textId="77777777" w:rsidTr="00E87F9F">
        <w:trPr>
          <w:jc w:val="center"/>
        </w:trPr>
        <w:tc>
          <w:tcPr>
            <w:tcW w:w="1276" w:type="dxa"/>
            <w:vMerge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EB74" w14:textId="77777777" w:rsidR="008B4885" w:rsidRDefault="008B488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1A6D2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h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9A36E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2,511</w:t>
            </w:r>
          </w:p>
        </w:tc>
        <w:tc>
          <w:tcPr>
            <w:tcW w:w="100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F5DF9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1528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4D6FA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0.0121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8042A" w14:textId="2F990284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 (1.3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 1.8</w:t>
            </w:r>
            <w:r w:rsidR="00312A54">
              <w:rPr>
                <w:rFonts w:ascii="Times New Roman" w:hAnsi="Times New Roman" w:cs="Times New Roman" w:hint="eastAsia"/>
                <w:color w:val="000000"/>
                <w:sz w:val="18"/>
                <w:szCs w:val="18"/>
                <w:lang w:eastAsia="zh-CN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96" w:type="dxa"/>
            <w:tcBorders>
              <w:top w:val="none" w:sz="0" w:space="0" w:color="000000"/>
              <w:left w:val="none" w:sz="0" w:space="0" w:color="000000"/>
              <w:bottom w:val="single" w:sz="1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4CD2B" w14:textId="77777777" w:rsidR="008B4885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</w:tr>
    </w:tbl>
    <w:p w14:paraId="537E7054" w14:textId="3F0934F2" w:rsidR="00C10766" w:rsidRPr="00E87F9F" w:rsidRDefault="00E87F9F" w:rsidP="00E87F9F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E87F9F">
        <w:rPr>
          <w:rFonts w:ascii="Times New Roman" w:hAnsi="Times New Roman" w:cs="Times New Roman"/>
          <w:i/>
          <w:iCs/>
          <w:sz w:val="22"/>
          <w:szCs w:val="22"/>
        </w:rPr>
        <w:t>Note:</w:t>
      </w:r>
      <w:r w:rsidRPr="00E87F9F">
        <w:rPr>
          <w:rFonts w:ascii="Times New Roman" w:hAnsi="Times New Roman" w:cs="Times New Roman"/>
          <w:sz w:val="22"/>
          <w:szCs w:val="22"/>
        </w:rPr>
        <w:br/>
        <w:t>For each time window (24 h, 48 h, and 72 h after ICU admission), a separate latent class mixed model was fitted to derive prob2, and the association with 28</w:t>
      </w:r>
      <w:r w:rsidRPr="00E87F9F">
        <w:rPr>
          <w:rFonts w:ascii="Times New Roman" w:hAnsi="Times New Roman" w:cs="Times New Roman"/>
          <w:sz w:val="22"/>
          <w:szCs w:val="22"/>
        </w:rPr>
        <w:noBreakHyphen/>
        <w:t>day mortality was estimated using Firth’s penalized likelihood logistic regression adjusted for age, GCS, SOFA, and mechanical ventilation.</w:t>
      </w:r>
      <w:r w:rsidRPr="00E87F9F">
        <w:rPr>
          <w:rFonts w:ascii="Times New Roman" w:hAnsi="Times New Roman" w:cs="Times New Roman"/>
          <w:sz w:val="22"/>
          <w:szCs w:val="22"/>
        </w:rPr>
        <w:br/>
        <w:t>Odds ratios are expressed per one</w:t>
      </w:r>
      <w:r w:rsidRPr="00E87F9F">
        <w:rPr>
          <w:rFonts w:ascii="Times New Roman" w:hAnsi="Times New Roman" w:cs="Times New Roman"/>
          <w:sz w:val="22"/>
          <w:szCs w:val="22"/>
        </w:rPr>
        <w:noBreakHyphen/>
        <w:t>IQR increase in prob2 within the corresponding window; the IQR values are reported for each window. N denotes the number of patients with ≥3 glucose measurements in that window; Events denote 28</w:t>
      </w:r>
      <w:r w:rsidRPr="00E87F9F">
        <w:rPr>
          <w:rFonts w:ascii="Times New Roman" w:hAnsi="Times New Roman" w:cs="Times New Roman"/>
          <w:sz w:val="22"/>
          <w:szCs w:val="22"/>
        </w:rPr>
        <w:noBreakHyphen/>
        <w:t>day deaths.</w:t>
      </w:r>
      <w:r w:rsidRPr="00E87F9F">
        <w:rPr>
          <w:rFonts w:ascii="Times New Roman" w:hAnsi="Times New Roman" w:cs="Times New Roman"/>
          <w:sz w:val="22"/>
          <w:szCs w:val="22"/>
        </w:rPr>
        <w:br/>
        <w:t>Abbreviations: IQR, interquartile range; OR, odds ratio; CI, confidence interval.</w:t>
      </w:r>
    </w:p>
    <w:sectPr w:rsidR="00C10766" w:rsidRPr="00E87F9F">
      <w:type w:val="continuous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F944A" w14:textId="77777777" w:rsidR="00C03D31" w:rsidRDefault="00C03D31" w:rsidP="00E87F9F">
      <w:r>
        <w:separator/>
      </w:r>
    </w:p>
  </w:endnote>
  <w:endnote w:type="continuationSeparator" w:id="0">
    <w:p w14:paraId="457B9BD4" w14:textId="77777777" w:rsidR="00C03D31" w:rsidRDefault="00C03D31" w:rsidP="00E8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270E3" w14:textId="77777777" w:rsidR="00C03D31" w:rsidRDefault="00C03D31" w:rsidP="00E87F9F">
      <w:r>
        <w:separator/>
      </w:r>
    </w:p>
  </w:footnote>
  <w:footnote w:type="continuationSeparator" w:id="0">
    <w:p w14:paraId="389515E2" w14:textId="77777777" w:rsidR="00C03D31" w:rsidRDefault="00C03D31" w:rsidP="00E87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4281701">
    <w:abstractNumId w:val="1"/>
  </w:num>
  <w:num w:numId="2" w16cid:durableId="2077319492">
    <w:abstractNumId w:val="2"/>
  </w:num>
  <w:num w:numId="3" w16cid:durableId="1188177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885"/>
    <w:rsid w:val="00312A54"/>
    <w:rsid w:val="00631CD9"/>
    <w:rsid w:val="008B4885"/>
    <w:rsid w:val="00BF11EB"/>
    <w:rsid w:val="00C03D31"/>
    <w:rsid w:val="00C10766"/>
    <w:rsid w:val="00E8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722F2"/>
  <w15:docId w15:val="{05B73592-B627-4B9D-9AF7-561C814B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E87F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87F9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87F9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87F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晓亮 杨</cp:lastModifiedBy>
  <cp:revision>11</cp:revision>
  <dcterms:created xsi:type="dcterms:W3CDTF">2017-02-28T11:18:00Z</dcterms:created>
  <dcterms:modified xsi:type="dcterms:W3CDTF">2026-08-15T03:01:00Z</dcterms:modified>
  <cp:category/>
</cp:coreProperties>
</file>