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A6F2" w14:textId="77777777" w:rsidR="001572FE" w:rsidRPr="001572FE" w:rsidRDefault="001572FE" w:rsidP="001572FE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1572FE">
        <w:rPr>
          <w:rFonts w:ascii="Times New Roman" w:hAnsi="Times New Roman" w:cs="Times New Roman"/>
          <w:b/>
          <w:bCs/>
          <w:sz w:val="22"/>
          <w:szCs w:val="22"/>
        </w:rPr>
        <w:t>Table e5. Association between prob2 and 28</w:t>
      </w:r>
      <w:r w:rsidRPr="001572FE">
        <w:rPr>
          <w:rFonts w:ascii="Times New Roman" w:hAnsi="Times New Roman" w:cs="Times New Roman"/>
          <w:b/>
          <w:bCs/>
          <w:sz w:val="22"/>
          <w:szCs w:val="22"/>
        </w:rPr>
        <w:noBreakHyphen/>
        <w:t>day mortality stratified by disease severity (SOFA score).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3"/>
        <w:gridCol w:w="1611"/>
        <w:gridCol w:w="3242"/>
        <w:gridCol w:w="1146"/>
        <w:gridCol w:w="1623"/>
      </w:tblGrid>
      <w:tr w:rsidR="001572FE" w:rsidRPr="001572FE" w14:paraId="44DE2552" w14:textId="77777777" w:rsidTr="001572FE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FC3A01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9F2A8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SOFA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EF1401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OR (95% CI) per IQR of prob2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F3405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 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DB6C7F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Interaction </w:t>
            </w:r>
            <w:r w:rsidRPr="001572F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</w:p>
        </w:tc>
      </w:tr>
      <w:tr w:rsidR="001572FE" w:rsidRPr="001572FE" w14:paraId="46B2A4CC" w14:textId="77777777" w:rsidTr="001572FE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4A84D2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MIMIC IV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63172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Low SOFA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3D55A" w14:textId="15403096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40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1.426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– 4.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041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CCFF5" w14:textId="3B338BD3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003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12EA48" w14:textId="60A7AF40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167DDC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526</w:t>
            </w:r>
          </w:p>
        </w:tc>
      </w:tr>
      <w:tr w:rsidR="001572FE" w:rsidRPr="001572FE" w14:paraId="7A536BD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68FB61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8086D7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High SOFA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C1AE56" w14:textId="4975C2EF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59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(1.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279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– 1.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984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49F6F9" w14:textId="1949AD63" w:rsidR="001572FE" w:rsidRPr="001572FE" w:rsidRDefault="00E4291B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94B794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72FE" w:rsidRPr="001572FE" w14:paraId="3E8F491C" w14:textId="77777777" w:rsidTr="001572F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5C6D4B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eICU CRD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9C8F7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Low SOFA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F62CD" w14:textId="6C18F29D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1.78 (1.3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06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– 2.42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0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7E3FB8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5F4964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0.062</w:t>
            </w:r>
          </w:p>
        </w:tc>
      </w:tr>
      <w:tr w:rsidR="001572FE" w:rsidRPr="001572FE" w14:paraId="04B3FA39" w14:textId="77777777" w:rsidTr="001572FE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F49177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7D30FC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High SOFA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D1A93" w14:textId="3C379C63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1.54 (1.26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0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 xml:space="preserve"> – 1.88</w:t>
            </w:r>
            <w:r w:rsidR="00E4291B">
              <w:rPr>
                <w:rFonts w:ascii="Times New Roman" w:hAnsi="Times New Roman" w:cs="Times New Roman" w:hint="eastAsia"/>
                <w:sz w:val="22"/>
                <w:szCs w:val="22"/>
                <w:lang w:eastAsia="zh-CN"/>
              </w:rPr>
              <w:t>2</w:t>
            </w: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149E1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572F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FBF35C" w14:textId="77777777" w:rsidR="001572FE" w:rsidRPr="001572FE" w:rsidRDefault="001572FE" w:rsidP="001572FE">
            <w:pPr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905FFB1" w14:textId="06C4290B" w:rsidR="00CB434E" w:rsidRPr="00885E25" w:rsidRDefault="001572FE" w:rsidP="00885E2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1572FE">
        <w:rPr>
          <w:rFonts w:ascii="Times New Roman" w:hAnsi="Times New Roman" w:cs="Times New Roman"/>
          <w:i/>
          <w:iCs/>
          <w:sz w:val="22"/>
          <w:szCs w:val="22"/>
        </w:rPr>
        <w:t>Note:</w:t>
      </w:r>
      <w:r w:rsidRPr="001572FE">
        <w:rPr>
          <w:rFonts w:ascii="Times New Roman" w:hAnsi="Times New Roman" w:cs="Times New Roman"/>
          <w:sz w:val="22"/>
          <w:szCs w:val="22"/>
        </w:rPr>
        <w:t> All models were fitted using Firth’s penalized likelihood logistic regression with adjustment for age, GCS, and mechanical ventilation.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 </w:t>
      </w:r>
      <w:r w:rsidRPr="001572FE">
        <w:rPr>
          <w:rFonts w:ascii="Times New Roman" w:hAnsi="Times New Roman" w:cs="Times New Roman"/>
          <w:sz w:val="22"/>
          <w:szCs w:val="22"/>
        </w:rPr>
        <w:t>SOFA groups were defined by the cohort</w:t>
      </w:r>
      <w:r w:rsidRPr="001572FE">
        <w:rPr>
          <w:rFonts w:ascii="Times New Roman" w:hAnsi="Times New Roman" w:cs="Times New Roman"/>
          <w:sz w:val="22"/>
          <w:szCs w:val="22"/>
        </w:rPr>
        <w:noBreakHyphen/>
        <w:t>specific median SOFA (MIMIC IV: 5; eICU CRD: 4).</w:t>
      </w:r>
      <w:r w:rsidR="00FE0AE7">
        <w:rPr>
          <w:rFonts w:ascii="Times New Roman" w:hAnsi="Times New Roman" w:cs="Times New Roman"/>
          <w:sz w:val="22"/>
          <w:szCs w:val="22"/>
        </w:rPr>
        <w:t xml:space="preserve"> </w:t>
      </w:r>
      <w:r w:rsidR="00FE0AE7" w:rsidRPr="00FE0AE7">
        <w:rPr>
          <w:rFonts w:ascii="Times New Roman" w:hAnsi="Times New Roman" w:cs="Times New Roman"/>
          <w:sz w:val="22"/>
          <w:szCs w:val="22"/>
        </w:rPr>
        <w:t>SOFA was excluded from the adjustment set because it was used to define the strata.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1572FE">
        <w:rPr>
          <w:rFonts w:ascii="Times New Roman" w:hAnsi="Times New Roman" w:cs="Times New Roman"/>
          <w:sz w:val="22"/>
          <w:szCs w:val="22"/>
        </w:rPr>
        <w:t>The odds ratio for prob2 corresponds to a one</w:t>
      </w:r>
      <w:r w:rsidRPr="001572FE">
        <w:rPr>
          <w:rFonts w:ascii="Times New Roman" w:hAnsi="Times New Roman" w:cs="Times New Roman"/>
          <w:sz w:val="22"/>
          <w:szCs w:val="22"/>
        </w:rPr>
        <w:noBreakHyphen/>
        <w:t>IQR increase (MIMIC IV IQR = 0.010; eICU CRD IQR = 0.012).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 </w:t>
      </w:r>
      <w:r w:rsidRPr="001572FE">
        <w:rPr>
          <w:rFonts w:ascii="Times New Roman" w:hAnsi="Times New Roman" w:cs="Times New Roman"/>
          <w:sz w:val="22"/>
          <w:szCs w:val="22"/>
        </w:rPr>
        <w:t>Interaction </w:t>
      </w:r>
      <w:r w:rsidRPr="001572FE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1572FE">
        <w:rPr>
          <w:rFonts w:ascii="Times New Roman" w:hAnsi="Times New Roman" w:cs="Times New Roman"/>
          <w:sz w:val="22"/>
          <w:szCs w:val="22"/>
        </w:rPr>
        <w:t> values were obtained from a model including a prob2 × SOFA (continuous) term.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 xml:space="preserve"> </w:t>
      </w:r>
      <w:r w:rsidRPr="001572FE">
        <w:rPr>
          <w:rFonts w:ascii="Times New Roman" w:hAnsi="Times New Roman" w:cs="Times New Roman"/>
          <w:sz w:val="22"/>
          <w:szCs w:val="22"/>
        </w:rPr>
        <w:t>Abbreviations: IQR, interquartile range; OR, odds ratio; CI, confidence interval; SOFA, Sequential Organ Failure Assessment; GCS, Glasgow Coma Scale.</w:t>
      </w:r>
    </w:p>
    <w:sectPr w:rsidR="00CB434E" w:rsidRPr="00885E25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37888" w14:textId="77777777" w:rsidR="009C3F6B" w:rsidRDefault="009C3F6B" w:rsidP="001572FE">
      <w:r>
        <w:separator/>
      </w:r>
    </w:p>
  </w:endnote>
  <w:endnote w:type="continuationSeparator" w:id="0">
    <w:p w14:paraId="4DAF66EA" w14:textId="77777777" w:rsidR="009C3F6B" w:rsidRDefault="009C3F6B" w:rsidP="0015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D211C" w14:textId="77777777" w:rsidR="009C3F6B" w:rsidRDefault="009C3F6B" w:rsidP="001572FE">
      <w:r>
        <w:separator/>
      </w:r>
    </w:p>
  </w:footnote>
  <w:footnote w:type="continuationSeparator" w:id="0">
    <w:p w14:paraId="5D7C7926" w14:textId="77777777" w:rsidR="009C3F6B" w:rsidRDefault="009C3F6B" w:rsidP="00157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8919662">
    <w:abstractNumId w:val="1"/>
  </w:num>
  <w:num w:numId="2" w16cid:durableId="109396867">
    <w:abstractNumId w:val="2"/>
  </w:num>
  <w:num w:numId="3" w16cid:durableId="209331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CD7"/>
    <w:rsid w:val="001572FE"/>
    <w:rsid w:val="00167DDC"/>
    <w:rsid w:val="00197093"/>
    <w:rsid w:val="00293CD7"/>
    <w:rsid w:val="00367864"/>
    <w:rsid w:val="00631CD9"/>
    <w:rsid w:val="00653891"/>
    <w:rsid w:val="00660EBD"/>
    <w:rsid w:val="00885E25"/>
    <w:rsid w:val="009C3F6B"/>
    <w:rsid w:val="00CB434E"/>
    <w:rsid w:val="00D34600"/>
    <w:rsid w:val="00E4291B"/>
    <w:rsid w:val="00FE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968A0"/>
  <w15:docId w15:val="{387192CA-3C08-4C47-BCA8-8051CA29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572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572FE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572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572FE"/>
    <w:rPr>
      <w:sz w:val="18"/>
      <w:szCs w:val="18"/>
    </w:rPr>
  </w:style>
  <w:style w:type="character" w:styleId="aa">
    <w:name w:val="Strong"/>
    <w:basedOn w:val="a0"/>
    <w:uiPriority w:val="22"/>
    <w:qFormat/>
    <w:rsid w:val="001572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晓亮 杨</cp:lastModifiedBy>
  <cp:revision>15</cp:revision>
  <dcterms:created xsi:type="dcterms:W3CDTF">2017-02-28T11:18:00Z</dcterms:created>
  <dcterms:modified xsi:type="dcterms:W3CDTF">2026-08-15T02:59:00Z</dcterms:modified>
  <cp:category/>
</cp:coreProperties>
</file>